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44818" w14:textId="3F70905F" w:rsidR="00C757C2" w:rsidRPr="00666CBD" w:rsidRDefault="00666CBD" w:rsidP="00AF5B14">
      <w:pPr>
        <w:spacing w:after="0"/>
        <w:jc w:val="center"/>
        <w:rPr>
          <w:color w:val="1F4E79" w:themeColor="accent1" w:themeShade="80"/>
          <w:sz w:val="36"/>
          <w:szCs w:val="36"/>
        </w:rPr>
      </w:pPr>
      <w:bookmarkStart w:id="0" w:name="_GoBack"/>
      <w:bookmarkEnd w:id="0"/>
      <w:r w:rsidRPr="00666CBD">
        <w:rPr>
          <w:color w:val="1F4E79" w:themeColor="accent1" w:themeShade="80"/>
          <w:sz w:val="36"/>
          <w:szCs w:val="36"/>
        </w:rPr>
        <w:t>University of Arizona</w:t>
      </w:r>
    </w:p>
    <w:p w14:paraId="7B7E7132" w14:textId="77777777" w:rsidR="00666CBD" w:rsidRDefault="00666CBD" w:rsidP="00666CBD">
      <w:pPr>
        <w:pBdr>
          <w:bottom w:val="single" w:sz="4" w:space="1" w:color="auto"/>
        </w:pBdr>
        <w:spacing w:after="0"/>
        <w:jc w:val="center"/>
        <w:rPr>
          <w:color w:val="1F4E79" w:themeColor="accent1" w:themeShade="80"/>
          <w:sz w:val="36"/>
          <w:szCs w:val="36"/>
        </w:rPr>
      </w:pPr>
      <w:r w:rsidRPr="00666CBD">
        <w:rPr>
          <w:color w:val="1F4E79" w:themeColor="accent1" w:themeShade="80"/>
          <w:sz w:val="36"/>
          <w:szCs w:val="36"/>
        </w:rPr>
        <w:t>Second Language Requirement for Undergraduate Degrees</w:t>
      </w:r>
    </w:p>
    <w:p w14:paraId="3CC97902" w14:textId="77777777" w:rsidR="00666CBD" w:rsidRPr="00666CBD" w:rsidRDefault="00666CBD" w:rsidP="00666CBD">
      <w:pPr>
        <w:spacing w:after="0"/>
        <w:rPr>
          <w:color w:val="1F4E79" w:themeColor="accent1" w:themeShade="80"/>
          <w:sz w:val="24"/>
          <w:szCs w:val="24"/>
        </w:rPr>
      </w:pPr>
    </w:p>
    <w:p w14:paraId="183426A8" w14:textId="77777777" w:rsidR="00666CBD" w:rsidRPr="00666CBD" w:rsidRDefault="00666CBD" w:rsidP="00AF5B14">
      <w:pPr>
        <w:pStyle w:val="ListParagraph"/>
        <w:numPr>
          <w:ilvl w:val="0"/>
          <w:numId w:val="1"/>
        </w:numPr>
        <w:spacing w:after="0"/>
        <w:jc w:val="both"/>
        <w:rPr>
          <w:rFonts w:asciiTheme="majorHAnsi" w:hAnsiTheme="majorHAnsi" w:cstheme="majorHAnsi"/>
          <w:b/>
          <w:color w:val="1F4E79" w:themeColor="accent1" w:themeShade="80"/>
          <w:sz w:val="32"/>
          <w:szCs w:val="32"/>
        </w:rPr>
      </w:pPr>
      <w:r w:rsidRPr="00666CBD">
        <w:rPr>
          <w:rFonts w:asciiTheme="majorHAnsi" w:hAnsiTheme="majorHAnsi" w:cstheme="majorHAnsi"/>
          <w:b/>
          <w:color w:val="1F4E79" w:themeColor="accent1" w:themeShade="80"/>
          <w:sz w:val="32"/>
          <w:szCs w:val="32"/>
          <w:lang w:val="en"/>
        </w:rPr>
        <w:t>Second language requirements vary depending on whether you are in a B.A or a non-</w:t>
      </w:r>
      <w:proofErr w:type="gramStart"/>
      <w:r w:rsidRPr="00666CBD">
        <w:rPr>
          <w:rFonts w:asciiTheme="majorHAnsi" w:hAnsiTheme="majorHAnsi" w:cstheme="majorHAnsi"/>
          <w:b/>
          <w:color w:val="1F4E79" w:themeColor="accent1" w:themeShade="80"/>
          <w:sz w:val="32"/>
          <w:szCs w:val="32"/>
          <w:lang w:val="en"/>
        </w:rPr>
        <w:t>B.A</w:t>
      </w:r>
      <w:proofErr w:type="gramEnd"/>
      <w:r w:rsidRPr="00666CBD">
        <w:rPr>
          <w:rFonts w:asciiTheme="majorHAnsi" w:hAnsiTheme="majorHAnsi" w:cstheme="majorHAnsi"/>
          <w:b/>
          <w:color w:val="1F4E79" w:themeColor="accent1" w:themeShade="80"/>
          <w:sz w:val="32"/>
          <w:szCs w:val="32"/>
          <w:lang w:val="en"/>
        </w:rPr>
        <w:t xml:space="preserve"> degree program</w:t>
      </w:r>
      <w:r>
        <w:rPr>
          <w:rFonts w:asciiTheme="majorHAnsi" w:hAnsiTheme="majorHAnsi" w:cstheme="majorHAnsi"/>
          <w:b/>
          <w:color w:val="1F4E79" w:themeColor="accent1" w:themeShade="80"/>
          <w:sz w:val="32"/>
          <w:szCs w:val="32"/>
          <w:lang w:val="en"/>
        </w:rPr>
        <w:t>.</w:t>
      </w:r>
    </w:p>
    <w:p w14:paraId="23BBC836" w14:textId="77777777" w:rsidR="00AF5B14" w:rsidRDefault="00666CBD" w:rsidP="00AF5B14">
      <w:pPr>
        <w:spacing w:after="0" w:line="240" w:lineRule="auto"/>
        <w:rPr>
          <w:rFonts w:asciiTheme="majorHAnsi" w:eastAsia="Times New Roman" w:hAnsiTheme="majorHAnsi" w:cstheme="majorHAnsi"/>
          <w:color w:val="1F4E79" w:themeColor="accent1" w:themeShade="80"/>
          <w:sz w:val="24"/>
          <w:szCs w:val="24"/>
          <w:lang w:val="en"/>
        </w:rPr>
      </w:pPr>
      <w:r w:rsidRPr="00666CBD">
        <w:rPr>
          <w:rFonts w:asciiTheme="majorHAnsi" w:eastAsia="Times New Roman" w:hAnsiTheme="majorHAnsi" w:cstheme="majorHAnsi"/>
          <w:b/>
          <w:bCs/>
          <w:color w:val="1F4E79" w:themeColor="accent1" w:themeShade="80"/>
          <w:sz w:val="24"/>
          <w:szCs w:val="24"/>
          <w:lang w:val="en"/>
        </w:rPr>
        <w:t>For all students in B.A. degree programs:</w:t>
      </w:r>
      <w:r w:rsidRPr="00666CBD">
        <w:rPr>
          <w:rFonts w:asciiTheme="majorHAnsi" w:eastAsia="Times New Roman" w:hAnsiTheme="majorHAnsi" w:cstheme="majorHAnsi"/>
          <w:color w:val="1F4E79" w:themeColor="accent1" w:themeShade="80"/>
          <w:sz w:val="24"/>
          <w:szCs w:val="24"/>
          <w:lang w:val="en"/>
        </w:rPr>
        <w:t xml:space="preserve">  fourth-semester skill level in a second language is required.  B.A. degree students may fulfill this requirement with one of the following options:</w:t>
      </w:r>
    </w:p>
    <w:p w14:paraId="75FC7689" w14:textId="77777777" w:rsidR="00AF5B14" w:rsidRDefault="00666CBD" w:rsidP="00AF5B14">
      <w:pPr>
        <w:pStyle w:val="ListParagraph"/>
        <w:numPr>
          <w:ilvl w:val="0"/>
          <w:numId w:val="4"/>
        </w:numPr>
        <w:spacing w:after="0" w:line="240" w:lineRule="auto"/>
        <w:rPr>
          <w:rFonts w:asciiTheme="majorHAnsi" w:eastAsia="Times New Roman" w:hAnsiTheme="majorHAnsi" w:cstheme="majorHAnsi"/>
          <w:color w:val="1F4E79" w:themeColor="accent1" w:themeShade="80"/>
          <w:sz w:val="24"/>
          <w:szCs w:val="24"/>
          <w:lang w:val="en"/>
        </w:rPr>
      </w:pPr>
      <w:r w:rsidRPr="00AF5B14">
        <w:rPr>
          <w:rFonts w:asciiTheme="majorHAnsi" w:eastAsia="Times New Roman" w:hAnsiTheme="majorHAnsi" w:cstheme="majorHAnsi"/>
          <w:color w:val="1F4E79" w:themeColor="accent1" w:themeShade="80"/>
          <w:sz w:val="24"/>
          <w:szCs w:val="24"/>
          <w:lang w:val="en"/>
        </w:rPr>
        <w:t>Scoring the equivalent of fourth-semester skill level on a proctored proficiency examination administered by The University of Arizona.</w:t>
      </w:r>
    </w:p>
    <w:p w14:paraId="715C6B70" w14:textId="77777777" w:rsidR="00AF5B14" w:rsidRDefault="00666CBD" w:rsidP="00AF5B14">
      <w:pPr>
        <w:pStyle w:val="ListParagraph"/>
        <w:numPr>
          <w:ilvl w:val="0"/>
          <w:numId w:val="4"/>
        </w:numPr>
        <w:spacing w:after="0" w:line="240" w:lineRule="auto"/>
        <w:rPr>
          <w:rFonts w:asciiTheme="majorHAnsi" w:eastAsia="Times New Roman" w:hAnsiTheme="majorHAnsi" w:cstheme="majorHAnsi"/>
          <w:color w:val="1F4E79" w:themeColor="accent1" w:themeShade="80"/>
          <w:sz w:val="24"/>
          <w:szCs w:val="24"/>
          <w:lang w:val="en"/>
        </w:rPr>
      </w:pPr>
      <w:r w:rsidRPr="00AF5B14">
        <w:rPr>
          <w:rFonts w:asciiTheme="majorHAnsi" w:eastAsia="Times New Roman" w:hAnsiTheme="majorHAnsi" w:cstheme="majorHAnsi"/>
          <w:color w:val="1F4E79" w:themeColor="accent1" w:themeShade="80"/>
          <w:sz w:val="24"/>
          <w:szCs w:val="24"/>
          <w:lang w:val="en"/>
        </w:rPr>
        <w:t>Completion with a C or better of a fourth-semester course at the post-secondary level.</w:t>
      </w:r>
    </w:p>
    <w:p w14:paraId="0192A9B1" w14:textId="77777777" w:rsidR="00AF5B14" w:rsidRDefault="00666CBD" w:rsidP="00AF5B14">
      <w:pPr>
        <w:pStyle w:val="ListParagraph"/>
        <w:numPr>
          <w:ilvl w:val="0"/>
          <w:numId w:val="4"/>
        </w:numPr>
        <w:spacing w:after="0" w:line="240" w:lineRule="auto"/>
        <w:rPr>
          <w:rFonts w:asciiTheme="majorHAnsi" w:eastAsia="Times New Roman" w:hAnsiTheme="majorHAnsi" w:cstheme="majorHAnsi"/>
          <w:color w:val="1F4E79" w:themeColor="accent1" w:themeShade="80"/>
          <w:sz w:val="24"/>
          <w:szCs w:val="24"/>
          <w:lang w:val="en"/>
        </w:rPr>
      </w:pPr>
      <w:r w:rsidRPr="00AF5B14">
        <w:rPr>
          <w:rFonts w:asciiTheme="majorHAnsi" w:eastAsia="Times New Roman" w:hAnsiTheme="majorHAnsi" w:cstheme="majorHAnsi"/>
          <w:color w:val="1F4E79" w:themeColor="accent1" w:themeShade="80"/>
          <w:sz w:val="24"/>
          <w:szCs w:val="24"/>
          <w:lang w:val="en"/>
        </w:rPr>
        <w:t>Completion with a C or higher of a 300- or 400-level language course at the post-secondary level.</w:t>
      </w:r>
    </w:p>
    <w:p w14:paraId="7284A478" w14:textId="77777777" w:rsidR="00AF5B14" w:rsidRDefault="00666CBD" w:rsidP="00AF5B14">
      <w:pPr>
        <w:pStyle w:val="ListParagraph"/>
        <w:numPr>
          <w:ilvl w:val="0"/>
          <w:numId w:val="4"/>
        </w:numPr>
        <w:spacing w:after="0" w:line="240" w:lineRule="auto"/>
        <w:rPr>
          <w:rFonts w:asciiTheme="majorHAnsi" w:eastAsia="Times New Roman" w:hAnsiTheme="majorHAnsi" w:cstheme="majorHAnsi"/>
          <w:color w:val="1F4E79" w:themeColor="accent1" w:themeShade="80"/>
          <w:sz w:val="24"/>
          <w:szCs w:val="24"/>
          <w:lang w:val="en"/>
        </w:rPr>
      </w:pPr>
      <w:r w:rsidRPr="00AF5B14">
        <w:rPr>
          <w:rFonts w:asciiTheme="majorHAnsi" w:eastAsia="Times New Roman" w:hAnsiTheme="majorHAnsi" w:cstheme="majorHAnsi"/>
          <w:color w:val="1F4E79" w:themeColor="accent1" w:themeShade="80"/>
          <w:sz w:val="24"/>
          <w:szCs w:val="24"/>
          <w:lang w:val="en"/>
        </w:rPr>
        <w:t xml:space="preserve">Completion of one course beyond the third semester in combination with an </w:t>
      </w:r>
      <w:hyperlink r:id="rId7" w:history="1">
        <w:r w:rsidRPr="00AF5B14">
          <w:rPr>
            <w:rFonts w:asciiTheme="majorHAnsi" w:eastAsia="Times New Roman" w:hAnsiTheme="majorHAnsi" w:cstheme="majorHAnsi"/>
            <w:b/>
            <w:bCs/>
            <w:color w:val="1F4E79" w:themeColor="accent1" w:themeShade="80"/>
            <w:sz w:val="24"/>
            <w:szCs w:val="24"/>
            <w:lang w:val="en"/>
          </w:rPr>
          <w:t>AP</w:t>
        </w:r>
      </w:hyperlink>
      <w:r w:rsidRPr="00AF5B14">
        <w:rPr>
          <w:rFonts w:asciiTheme="majorHAnsi" w:eastAsia="Times New Roman" w:hAnsiTheme="majorHAnsi" w:cstheme="majorHAnsi"/>
          <w:color w:val="1F4E79" w:themeColor="accent1" w:themeShade="80"/>
          <w:sz w:val="24"/>
          <w:szCs w:val="24"/>
          <w:lang w:val="en"/>
        </w:rPr>
        <w:t xml:space="preserve"> (Advanced Placement) score, </w:t>
      </w:r>
      <w:hyperlink r:id="rId8" w:history="1">
        <w:r w:rsidRPr="00AF5B14">
          <w:rPr>
            <w:rFonts w:asciiTheme="majorHAnsi" w:eastAsia="Times New Roman" w:hAnsiTheme="majorHAnsi" w:cstheme="majorHAnsi"/>
            <w:b/>
            <w:bCs/>
            <w:color w:val="1F4E79" w:themeColor="accent1" w:themeShade="80"/>
            <w:sz w:val="24"/>
            <w:szCs w:val="24"/>
            <w:lang w:val="en"/>
          </w:rPr>
          <w:t>IB</w:t>
        </w:r>
      </w:hyperlink>
      <w:r w:rsidRPr="00AF5B14">
        <w:rPr>
          <w:rFonts w:asciiTheme="majorHAnsi" w:eastAsia="Times New Roman" w:hAnsiTheme="majorHAnsi" w:cstheme="majorHAnsi"/>
          <w:color w:val="1F4E79" w:themeColor="accent1" w:themeShade="80"/>
          <w:sz w:val="24"/>
          <w:szCs w:val="24"/>
          <w:lang w:val="en"/>
        </w:rPr>
        <w:t xml:space="preserve"> (International Baccalaureate) score or a </w:t>
      </w:r>
      <w:hyperlink r:id="rId9" w:history="1">
        <w:r w:rsidRPr="00AF5B14">
          <w:rPr>
            <w:rFonts w:asciiTheme="majorHAnsi" w:eastAsia="Times New Roman" w:hAnsiTheme="majorHAnsi" w:cstheme="majorHAnsi"/>
            <w:b/>
            <w:bCs/>
            <w:color w:val="1F4E79" w:themeColor="accent1" w:themeShade="80"/>
            <w:sz w:val="24"/>
            <w:szCs w:val="24"/>
            <w:lang w:val="en"/>
          </w:rPr>
          <w:t>CLEP</w:t>
        </w:r>
      </w:hyperlink>
      <w:r w:rsidRPr="00AF5B14">
        <w:rPr>
          <w:rFonts w:asciiTheme="majorHAnsi" w:eastAsia="Times New Roman" w:hAnsiTheme="majorHAnsi" w:cstheme="majorHAnsi"/>
          <w:color w:val="1F4E79" w:themeColor="accent1" w:themeShade="80"/>
          <w:sz w:val="24"/>
          <w:szCs w:val="24"/>
          <w:lang w:val="en"/>
        </w:rPr>
        <w:t xml:space="preserve"> (College Level Entrance Program) score determined by the individual language department.</w:t>
      </w:r>
    </w:p>
    <w:p w14:paraId="65A68023" w14:textId="77777777" w:rsidR="00666CBD" w:rsidRPr="00AF5B14" w:rsidRDefault="00666CBD" w:rsidP="00AF5B14">
      <w:pPr>
        <w:pStyle w:val="ListParagraph"/>
        <w:numPr>
          <w:ilvl w:val="0"/>
          <w:numId w:val="4"/>
        </w:numPr>
        <w:spacing w:after="0" w:line="240" w:lineRule="auto"/>
        <w:rPr>
          <w:rFonts w:asciiTheme="majorHAnsi" w:eastAsia="Times New Roman" w:hAnsiTheme="majorHAnsi" w:cstheme="majorHAnsi"/>
          <w:color w:val="1F4E79" w:themeColor="accent1" w:themeShade="80"/>
          <w:sz w:val="24"/>
          <w:szCs w:val="24"/>
          <w:lang w:val="en"/>
        </w:rPr>
      </w:pPr>
      <w:r w:rsidRPr="00AF5B14">
        <w:rPr>
          <w:rFonts w:asciiTheme="majorHAnsi" w:eastAsia="Times New Roman" w:hAnsiTheme="majorHAnsi" w:cstheme="majorHAnsi"/>
          <w:color w:val="1F4E79" w:themeColor="accent1" w:themeShade="80"/>
          <w:sz w:val="24"/>
          <w:szCs w:val="24"/>
          <w:lang w:val="en"/>
        </w:rPr>
        <w:t xml:space="preserve">An AP, IB, or CLEP language score as listed below. </w:t>
      </w:r>
    </w:p>
    <w:tbl>
      <w:tblPr>
        <w:tblStyle w:val="TableGrid"/>
        <w:tblW w:w="0" w:type="auto"/>
        <w:jc w:val="center"/>
        <w:tblLook w:val="04A0" w:firstRow="1" w:lastRow="0" w:firstColumn="1" w:lastColumn="0" w:noHBand="0" w:noVBand="1"/>
      </w:tblPr>
      <w:tblGrid>
        <w:gridCol w:w="2337"/>
        <w:gridCol w:w="2337"/>
        <w:gridCol w:w="2338"/>
        <w:gridCol w:w="2338"/>
      </w:tblGrid>
      <w:tr w:rsidR="00AF5B14" w:rsidRPr="00AF5B14" w14:paraId="3415D43F" w14:textId="77777777" w:rsidTr="00A25B6E">
        <w:trPr>
          <w:jc w:val="center"/>
        </w:trPr>
        <w:tc>
          <w:tcPr>
            <w:tcW w:w="2337" w:type="dxa"/>
          </w:tcPr>
          <w:p w14:paraId="3F8E9D5A"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Examination</w:t>
            </w:r>
          </w:p>
        </w:tc>
        <w:tc>
          <w:tcPr>
            <w:tcW w:w="2337" w:type="dxa"/>
          </w:tcPr>
          <w:p w14:paraId="5D3748FB"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AP Score</w:t>
            </w:r>
          </w:p>
        </w:tc>
        <w:tc>
          <w:tcPr>
            <w:tcW w:w="2338" w:type="dxa"/>
          </w:tcPr>
          <w:p w14:paraId="2CF7A35F"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IB Score</w:t>
            </w:r>
          </w:p>
        </w:tc>
        <w:tc>
          <w:tcPr>
            <w:tcW w:w="2338" w:type="dxa"/>
          </w:tcPr>
          <w:p w14:paraId="3343335A"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CLEP Score</w:t>
            </w:r>
          </w:p>
        </w:tc>
      </w:tr>
      <w:tr w:rsidR="00AF5B14" w:rsidRPr="00AF5B14" w14:paraId="6EE0406F" w14:textId="77777777" w:rsidTr="00A25B6E">
        <w:trPr>
          <w:jc w:val="center"/>
        </w:trPr>
        <w:tc>
          <w:tcPr>
            <w:tcW w:w="2337" w:type="dxa"/>
          </w:tcPr>
          <w:p w14:paraId="447C327A"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Chinese</w:t>
            </w:r>
          </w:p>
        </w:tc>
        <w:tc>
          <w:tcPr>
            <w:tcW w:w="2337" w:type="dxa"/>
          </w:tcPr>
          <w:p w14:paraId="6BA957FF"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5</w:t>
            </w:r>
          </w:p>
        </w:tc>
        <w:tc>
          <w:tcPr>
            <w:tcW w:w="2338" w:type="dxa"/>
          </w:tcPr>
          <w:p w14:paraId="5AA1BE22" w14:textId="7A5F235F" w:rsidR="00666CBD" w:rsidRPr="00AF5B14" w:rsidRDefault="008C5E71" w:rsidP="00666CBD">
            <w:pPr>
              <w:rPr>
                <w:rFonts w:ascii="MiloWeb" w:hAnsi="MiloWeb" w:cs="Arial"/>
                <w:color w:val="1F4E79" w:themeColor="accent1" w:themeShade="80"/>
                <w:lang w:val="en"/>
              </w:rPr>
            </w:pPr>
            <w:r>
              <w:rPr>
                <w:rFonts w:ascii="MiloWeb" w:hAnsi="MiloWeb" w:cs="Arial"/>
                <w:color w:val="1F4E79" w:themeColor="accent1" w:themeShade="80"/>
                <w:lang w:val="en"/>
              </w:rPr>
              <w:t>7</w:t>
            </w:r>
          </w:p>
        </w:tc>
        <w:tc>
          <w:tcPr>
            <w:tcW w:w="2338" w:type="dxa"/>
          </w:tcPr>
          <w:p w14:paraId="0A07F8CB"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w:t>
            </w:r>
          </w:p>
        </w:tc>
      </w:tr>
      <w:tr w:rsidR="00AF5B14" w:rsidRPr="00AF5B14" w14:paraId="79A9668A" w14:textId="77777777" w:rsidTr="00A25B6E">
        <w:trPr>
          <w:jc w:val="center"/>
        </w:trPr>
        <w:tc>
          <w:tcPr>
            <w:tcW w:w="2337" w:type="dxa"/>
          </w:tcPr>
          <w:p w14:paraId="2C14E779"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French</w:t>
            </w:r>
          </w:p>
        </w:tc>
        <w:tc>
          <w:tcPr>
            <w:tcW w:w="2337" w:type="dxa"/>
          </w:tcPr>
          <w:p w14:paraId="3900DE41"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3 or higher</w:t>
            </w:r>
          </w:p>
        </w:tc>
        <w:tc>
          <w:tcPr>
            <w:tcW w:w="2338" w:type="dxa"/>
          </w:tcPr>
          <w:p w14:paraId="715B4086" w14:textId="6E13FE80" w:rsidR="00666CBD" w:rsidRPr="00AF5B14" w:rsidRDefault="008C5E71" w:rsidP="00666CBD">
            <w:pPr>
              <w:rPr>
                <w:rFonts w:ascii="MiloWeb" w:hAnsi="MiloWeb" w:cs="Arial"/>
                <w:color w:val="1F4E79" w:themeColor="accent1" w:themeShade="80"/>
                <w:lang w:val="en"/>
              </w:rPr>
            </w:pPr>
            <w:r>
              <w:rPr>
                <w:rFonts w:ascii="MiloWeb" w:hAnsi="MiloWeb" w:cs="Arial"/>
                <w:color w:val="1F4E79" w:themeColor="accent1" w:themeShade="80"/>
                <w:lang w:val="en"/>
              </w:rPr>
              <w:t>7</w:t>
            </w:r>
          </w:p>
        </w:tc>
        <w:tc>
          <w:tcPr>
            <w:tcW w:w="2338" w:type="dxa"/>
          </w:tcPr>
          <w:p w14:paraId="54C73782" w14:textId="7497EAE3"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6</w:t>
            </w:r>
            <w:r w:rsidR="00CC2E47">
              <w:rPr>
                <w:rFonts w:ascii="MiloWeb" w:hAnsi="MiloWeb" w:cs="Arial"/>
                <w:color w:val="1F4E79" w:themeColor="accent1" w:themeShade="80"/>
                <w:lang w:val="en"/>
              </w:rPr>
              <w:t>6</w:t>
            </w:r>
            <w:r w:rsidRPr="00AF5B14">
              <w:rPr>
                <w:rFonts w:ascii="MiloWeb" w:hAnsi="MiloWeb" w:cs="Arial"/>
                <w:color w:val="1F4E79" w:themeColor="accent1" w:themeShade="80"/>
                <w:lang w:val="en"/>
              </w:rPr>
              <w:t xml:space="preserve"> or higher</w:t>
            </w:r>
          </w:p>
        </w:tc>
      </w:tr>
      <w:tr w:rsidR="00AF5B14" w:rsidRPr="00AF5B14" w14:paraId="5F2B02F8" w14:textId="77777777" w:rsidTr="00A25B6E">
        <w:trPr>
          <w:jc w:val="center"/>
        </w:trPr>
        <w:tc>
          <w:tcPr>
            <w:tcW w:w="2337" w:type="dxa"/>
          </w:tcPr>
          <w:p w14:paraId="72CFC70C"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German</w:t>
            </w:r>
          </w:p>
        </w:tc>
        <w:tc>
          <w:tcPr>
            <w:tcW w:w="2337" w:type="dxa"/>
          </w:tcPr>
          <w:p w14:paraId="28140E92"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3 or higher</w:t>
            </w:r>
          </w:p>
        </w:tc>
        <w:tc>
          <w:tcPr>
            <w:tcW w:w="2338" w:type="dxa"/>
          </w:tcPr>
          <w:p w14:paraId="247FD095" w14:textId="6C80AAC2" w:rsidR="00666CBD" w:rsidRPr="00AF5B14" w:rsidRDefault="008C5E71" w:rsidP="00666CBD">
            <w:pPr>
              <w:rPr>
                <w:rFonts w:ascii="MiloWeb" w:hAnsi="MiloWeb" w:cs="Arial"/>
                <w:color w:val="1F4E79" w:themeColor="accent1" w:themeShade="80"/>
                <w:lang w:val="en"/>
              </w:rPr>
            </w:pPr>
            <w:r>
              <w:rPr>
                <w:rFonts w:ascii="MiloWeb" w:hAnsi="MiloWeb" w:cs="Arial"/>
                <w:color w:val="1F4E79" w:themeColor="accent1" w:themeShade="80"/>
                <w:lang w:val="en"/>
              </w:rPr>
              <w:t>7</w:t>
            </w:r>
          </w:p>
        </w:tc>
        <w:tc>
          <w:tcPr>
            <w:tcW w:w="2338" w:type="dxa"/>
          </w:tcPr>
          <w:p w14:paraId="567199ED"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60 or higher</w:t>
            </w:r>
          </w:p>
        </w:tc>
      </w:tr>
      <w:tr w:rsidR="00AF5B14" w:rsidRPr="00AF5B14" w14:paraId="17230B40" w14:textId="77777777" w:rsidTr="00A25B6E">
        <w:trPr>
          <w:jc w:val="center"/>
        </w:trPr>
        <w:tc>
          <w:tcPr>
            <w:tcW w:w="2337" w:type="dxa"/>
          </w:tcPr>
          <w:p w14:paraId="101DD730"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Italian</w:t>
            </w:r>
          </w:p>
        </w:tc>
        <w:tc>
          <w:tcPr>
            <w:tcW w:w="2337" w:type="dxa"/>
          </w:tcPr>
          <w:p w14:paraId="63D4FFE9"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3 or higher</w:t>
            </w:r>
          </w:p>
        </w:tc>
        <w:tc>
          <w:tcPr>
            <w:tcW w:w="2338" w:type="dxa"/>
          </w:tcPr>
          <w:p w14:paraId="7D6A85AD" w14:textId="38393BDC" w:rsidR="00666CBD" w:rsidRPr="00AF5B14" w:rsidRDefault="008C5E71" w:rsidP="00666CBD">
            <w:pPr>
              <w:rPr>
                <w:rFonts w:ascii="MiloWeb" w:hAnsi="MiloWeb" w:cs="Arial"/>
                <w:color w:val="1F4E79" w:themeColor="accent1" w:themeShade="80"/>
                <w:lang w:val="en"/>
              </w:rPr>
            </w:pPr>
            <w:r>
              <w:rPr>
                <w:rFonts w:ascii="MiloWeb" w:hAnsi="MiloWeb" w:cs="Arial"/>
                <w:color w:val="1F4E79" w:themeColor="accent1" w:themeShade="80"/>
                <w:lang w:val="en"/>
              </w:rPr>
              <w:t>--</w:t>
            </w:r>
          </w:p>
        </w:tc>
        <w:tc>
          <w:tcPr>
            <w:tcW w:w="2338" w:type="dxa"/>
          </w:tcPr>
          <w:p w14:paraId="7A973D99" w14:textId="3EB081BC" w:rsidR="00666CBD" w:rsidRPr="00AF5B14" w:rsidRDefault="00CC2E47" w:rsidP="00666CBD">
            <w:pPr>
              <w:rPr>
                <w:rFonts w:ascii="MiloWeb" w:hAnsi="MiloWeb" w:cs="Arial"/>
                <w:color w:val="1F4E79" w:themeColor="accent1" w:themeShade="80"/>
                <w:lang w:val="en"/>
              </w:rPr>
            </w:pPr>
            <w:r>
              <w:rPr>
                <w:rFonts w:ascii="MiloWeb" w:hAnsi="MiloWeb" w:cs="Arial"/>
                <w:color w:val="1F4E79" w:themeColor="accent1" w:themeShade="80"/>
                <w:lang w:val="en"/>
              </w:rPr>
              <w:t>--</w:t>
            </w:r>
          </w:p>
        </w:tc>
      </w:tr>
      <w:tr w:rsidR="00AF5B14" w:rsidRPr="00AF5B14" w14:paraId="0C5120BD" w14:textId="77777777" w:rsidTr="00A25B6E">
        <w:trPr>
          <w:jc w:val="center"/>
        </w:trPr>
        <w:tc>
          <w:tcPr>
            <w:tcW w:w="2337" w:type="dxa"/>
          </w:tcPr>
          <w:p w14:paraId="367342AF"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Japanese</w:t>
            </w:r>
          </w:p>
        </w:tc>
        <w:tc>
          <w:tcPr>
            <w:tcW w:w="2337" w:type="dxa"/>
          </w:tcPr>
          <w:p w14:paraId="7ED20265"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5</w:t>
            </w:r>
          </w:p>
        </w:tc>
        <w:tc>
          <w:tcPr>
            <w:tcW w:w="2338" w:type="dxa"/>
          </w:tcPr>
          <w:p w14:paraId="59B2E030" w14:textId="0F36AA0B" w:rsidR="00666CBD" w:rsidRPr="00AF5B14" w:rsidRDefault="00CC2E47" w:rsidP="00666CBD">
            <w:pPr>
              <w:rPr>
                <w:rFonts w:ascii="MiloWeb" w:hAnsi="MiloWeb" w:cs="Arial"/>
                <w:color w:val="1F4E79" w:themeColor="accent1" w:themeShade="80"/>
                <w:lang w:val="en"/>
              </w:rPr>
            </w:pPr>
            <w:r>
              <w:rPr>
                <w:rFonts w:ascii="MiloWeb" w:hAnsi="MiloWeb" w:cs="Arial"/>
                <w:color w:val="1F4E79" w:themeColor="accent1" w:themeShade="80"/>
                <w:lang w:val="en"/>
              </w:rPr>
              <w:t>7</w:t>
            </w:r>
          </w:p>
        </w:tc>
        <w:tc>
          <w:tcPr>
            <w:tcW w:w="2338" w:type="dxa"/>
          </w:tcPr>
          <w:p w14:paraId="3E4F8940" w14:textId="546258E7" w:rsidR="00666CBD" w:rsidRPr="00AF5B14" w:rsidRDefault="00CC2E47" w:rsidP="00666CBD">
            <w:pPr>
              <w:rPr>
                <w:rFonts w:ascii="MiloWeb" w:hAnsi="MiloWeb" w:cs="Arial"/>
                <w:color w:val="1F4E79" w:themeColor="accent1" w:themeShade="80"/>
                <w:lang w:val="en"/>
              </w:rPr>
            </w:pPr>
            <w:r>
              <w:rPr>
                <w:rFonts w:ascii="MiloWeb" w:hAnsi="MiloWeb" w:cs="Arial"/>
                <w:color w:val="1F4E79" w:themeColor="accent1" w:themeShade="80"/>
                <w:lang w:val="en"/>
              </w:rPr>
              <w:t>--</w:t>
            </w:r>
          </w:p>
        </w:tc>
      </w:tr>
      <w:tr w:rsidR="00A25B6E" w:rsidRPr="00AF5B14" w14:paraId="690D7E56" w14:textId="77777777" w:rsidTr="00A25B6E">
        <w:trPr>
          <w:jc w:val="center"/>
        </w:trPr>
        <w:tc>
          <w:tcPr>
            <w:tcW w:w="2337" w:type="dxa"/>
          </w:tcPr>
          <w:p w14:paraId="1F61A6E3"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Latin (Classical Lang)</w:t>
            </w:r>
          </w:p>
        </w:tc>
        <w:tc>
          <w:tcPr>
            <w:tcW w:w="2337" w:type="dxa"/>
          </w:tcPr>
          <w:p w14:paraId="004C1D19"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5 or higher</w:t>
            </w:r>
          </w:p>
        </w:tc>
        <w:tc>
          <w:tcPr>
            <w:tcW w:w="2338" w:type="dxa"/>
          </w:tcPr>
          <w:p w14:paraId="0304F844" w14:textId="751B8F66" w:rsidR="00666CBD" w:rsidRPr="00AF5B14" w:rsidRDefault="00CC2E47" w:rsidP="00666CBD">
            <w:pPr>
              <w:rPr>
                <w:rFonts w:ascii="MiloWeb" w:hAnsi="MiloWeb" w:cs="Arial"/>
                <w:color w:val="1F4E79" w:themeColor="accent1" w:themeShade="80"/>
                <w:lang w:val="en"/>
              </w:rPr>
            </w:pPr>
            <w:r>
              <w:rPr>
                <w:rFonts w:ascii="MiloWeb" w:hAnsi="MiloWeb" w:cs="Arial"/>
                <w:color w:val="1F4E79" w:themeColor="accent1" w:themeShade="80"/>
                <w:lang w:val="en"/>
              </w:rPr>
              <w:t>7</w:t>
            </w:r>
          </w:p>
        </w:tc>
        <w:tc>
          <w:tcPr>
            <w:tcW w:w="2338" w:type="dxa"/>
          </w:tcPr>
          <w:p w14:paraId="70B4F44F" w14:textId="5BF96710"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w:t>
            </w:r>
            <w:r w:rsidR="00CC2E47">
              <w:rPr>
                <w:rFonts w:ascii="MiloWeb" w:hAnsi="MiloWeb" w:cs="Arial"/>
                <w:color w:val="1F4E79" w:themeColor="accent1" w:themeShade="80"/>
                <w:lang w:val="en"/>
              </w:rPr>
              <w:t>-</w:t>
            </w:r>
          </w:p>
        </w:tc>
      </w:tr>
      <w:tr w:rsidR="00AF5B14" w:rsidRPr="00AF5B14" w14:paraId="0650B5E4" w14:textId="77777777" w:rsidTr="00A25B6E">
        <w:trPr>
          <w:jc w:val="center"/>
        </w:trPr>
        <w:tc>
          <w:tcPr>
            <w:tcW w:w="2337" w:type="dxa"/>
          </w:tcPr>
          <w:p w14:paraId="45B488C7"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Spanish</w:t>
            </w:r>
          </w:p>
        </w:tc>
        <w:tc>
          <w:tcPr>
            <w:tcW w:w="2337" w:type="dxa"/>
          </w:tcPr>
          <w:p w14:paraId="39F00479"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3 or higher</w:t>
            </w:r>
          </w:p>
        </w:tc>
        <w:tc>
          <w:tcPr>
            <w:tcW w:w="2338" w:type="dxa"/>
          </w:tcPr>
          <w:p w14:paraId="47E8690D" w14:textId="23DC7C8D" w:rsidR="00666CBD" w:rsidRPr="00AF5B14" w:rsidRDefault="00CC2E47" w:rsidP="00666CBD">
            <w:pPr>
              <w:rPr>
                <w:rFonts w:ascii="MiloWeb" w:hAnsi="MiloWeb" w:cs="Arial"/>
                <w:color w:val="1F4E79" w:themeColor="accent1" w:themeShade="80"/>
                <w:lang w:val="en"/>
              </w:rPr>
            </w:pPr>
            <w:r>
              <w:rPr>
                <w:rFonts w:ascii="MiloWeb" w:hAnsi="MiloWeb" w:cs="Arial"/>
                <w:color w:val="1F4E79" w:themeColor="accent1" w:themeShade="80"/>
                <w:lang w:val="en"/>
              </w:rPr>
              <w:t>7</w:t>
            </w:r>
          </w:p>
        </w:tc>
        <w:tc>
          <w:tcPr>
            <w:tcW w:w="2338" w:type="dxa"/>
          </w:tcPr>
          <w:p w14:paraId="3A13026C" w14:textId="77777777" w:rsidR="00666CBD" w:rsidRPr="00AF5B14" w:rsidRDefault="00666CBD" w:rsidP="00666CBD">
            <w:pPr>
              <w:rPr>
                <w:rFonts w:ascii="MiloWeb" w:hAnsi="MiloWeb" w:cs="Arial"/>
                <w:color w:val="1F4E79" w:themeColor="accent1" w:themeShade="80"/>
                <w:lang w:val="en"/>
              </w:rPr>
            </w:pPr>
            <w:r w:rsidRPr="00AF5B14">
              <w:rPr>
                <w:rFonts w:ascii="MiloWeb" w:hAnsi="MiloWeb" w:cs="Arial"/>
                <w:color w:val="1F4E79" w:themeColor="accent1" w:themeShade="80"/>
                <w:lang w:val="en"/>
              </w:rPr>
              <w:t>68 or higher</w:t>
            </w:r>
          </w:p>
        </w:tc>
      </w:tr>
      <w:tr w:rsidR="00AF5B14" w:rsidRPr="00AF5B14" w14:paraId="28FE8223" w14:textId="77777777" w:rsidTr="00A25B6E">
        <w:trPr>
          <w:jc w:val="center"/>
        </w:trPr>
        <w:tc>
          <w:tcPr>
            <w:tcW w:w="2337" w:type="dxa"/>
          </w:tcPr>
          <w:p w14:paraId="615E9855" w14:textId="77777777" w:rsidR="00AF5B14" w:rsidRPr="00AF5B14" w:rsidRDefault="00AF5B14" w:rsidP="00666CBD">
            <w:pPr>
              <w:rPr>
                <w:rFonts w:ascii="MiloWeb" w:hAnsi="MiloWeb" w:cs="Arial"/>
                <w:color w:val="1F4E79" w:themeColor="accent1" w:themeShade="80"/>
                <w:lang w:val="en"/>
              </w:rPr>
            </w:pPr>
          </w:p>
        </w:tc>
        <w:tc>
          <w:tcPr>
            <w:tcW w:w="2337" w:type="dxa"/>
          </w:tcPr>
          <w:p w14:paraId="0506F10A" w14:textId="77777777" w:rsidR="00AF5B14" w:rsidRPr="00AF5B14" w:rsidRDefault="00AF5B14" w:rsidP="00666CBD">
            <w:pPr>
              <w:rPr>
                <w:rFonts w:ascii="MiloWeb" w:hAnsi="MiloWeb" w:cs="Arial"/>
                <w:color w:val="1F4E79" w:themeColor="accent1" w:themeShade="80"/>
                <w:lang w:val="en"/>
              </w:rPr>
            </w:pPr>
          </w:p>
        </w:tc>
        <w:tc>
          <w:tcPr>
            <w:tcW w:w="2338" w:type="dxa"/>
          </w:tcPr>
          <w:p w14:paraId="7659BF48" w14:textId="77777777" w:rsidR="00AF5B14" w:rsidRPr="00AF5B14" w:rsidRDefault="00AF5B14" w:rsidP="00666CBD">
            <w:pPr>
              <w:rPr>
                <w:rFonts w:ascii="MiloWeb" w:hAnsi="MiloWeb" w:cs="Arial"/>
                <w:color w:val="1F4E79" w:themeColor="accent1" w:themeShade="80"/>
                <w:lang w:val="en"/>
              </w:rPr>
            </w:pPr>
          </w:p>
        </w:tc>
        <w:tc>
          <w:tcPr>
            <w:tcW w:w="2338" w:type="dxa"/>
          </w:tcPr>
          <w:p w14:paraId="6C0C2544" w14:textId="77777777" w:rsidR="00AF5B14" w:rsidRPr="00AF5B14" w:rsidRDefault="00AF5B14" w:rsidP="00666CBD">
            <w:pPr>
              <w:rPr>
                <w:rFonts w:ascii="MiloWeb" w:hAnsi="MiloWeb" w:cs="Arial"/>
                <w:color w:val="1F4E79" w:themeColor="accent1" w:themeShade="80"/>
                <w:lang w:val="en"/>
              </w:rPr>
            </w:pPr>
          </w:p>
        </w:tc>
      </w:tr>
    </w:tbl>
    <w:p w14:paraId="46D349DD" w14:textId="77777777" w:rsidR="00666CBD" w:rsidRPr="00AF5B14" w:rsidRDefault="00AF5B14" w:rsidP="00AF5B14">
      <w:pPr>
        <w:pBdr>
          <w:bottom w:val="single" w:sz="4" w:space="1" w:color="auto"/>
        </w:pBdr>
        <w:rPr>
          <w:rFonts w:asciiTheme="majorHAnsi" w:hAnsiTheme="majorHAnsi" w:cstheme="majorHAnsi"/>
          <w:b/>
          <w:color w:val="1F4E79" w:themeColor="accent1" w:themeShade="80"/>
          <w:sz w:val="24"/>
          <w:szCs w:val="24"/>
        </w:rPr>
      </w:pPr>
      <w:r w:rsidRPr="00AF5B14">
        <w:rPr>
          <w:rFonts w:ascii="MiloWeb" w:hAnsi="MiloWeb" w:cs="Arial"/>
          <w:color w:val="333333"/>
          <w:sz w:val="24"/>
          <w:szCs w:val="24"/>
          <w:lang w:val="en"/>
          <w14:textFill>
            <w14:solidFill>
              <w14:srgbClr w14:val="333333">
                <w14:lumMod w14:val="50000"/>
              </w14:srgbClr>
            </w14:solidFill>
          </w14:textFill>
        </w:rPr>
        <w:t>6.</w:t>
      </w:r>
      <w:r>
        <w:rPr>
          <w:rFonts w:asciiTheme="majorHAnsi" w:hAnsiTheme="majorHAnsi" w:cstheme="majorHAnsi"/>
          <w:color w:val="1F4E79" w:themeColor="accent1" w:themeShade="80"/>
          <w:sz w:val="24"/>
          <w:szCs w:val="24"/>
          <w:lang w:val="en"/>
        </w:rPr>
        <w:t xml:space="preserve"> </w:t>
      </w:r>
      <w:r w:rsidR="00666CBD" w:rsidRPr="00AF5B14">
        <w:rPr>
          <w:rFonts w:asciiTheme="majorHAnsi" w:hAnsiTheme="majorHAnsi" w:cstheme="majorHAnsi"/>
          <w:color w:val="1F4E79" w:themeColor="accent1" w:themeShade="80"/>
          <w:sz w:val="24"/>
          <w:szCs w:val="24"/>
          <w:lang w:val="en"/>
        </w:rPr>
        <w:t xml:space="preserve"> A minimum of one semester study abroad in a language program approved by the appropriate language department as the equivalent of fourth-semester skill level.</w:t>
      </w:r>
    </w:p>
    <w:p w14:paraId="32C57243" w14:textId="77777777" w:rsidR="00AF5B14" w:rsidRPr="00AF5B14" w:rsidRDefault="00AF5B14" w:rsidP="00AF5B14">
      <w:pPr>
        <w:spacing w:after="0" w:line="240" w:lineRule="auto"/>
        <w:rPr>
          <w:rFonts w:asciiTheme="majorHAnsi" w:eastAsia="Times New Roman" w:hAnsiTheme="majorHAnsi" w:cstheme="majorHAnsi"/>
          <w:color w:val="1F4E79" w:themeColor="accent1" w:themeShade="80"/>
          <w:sz w:val="24"/>
          <w:szCs w:val="24"/>
          <w:lang w:val="en"/>
        </w:rPr>
      </w:pPr>
      <w:r w:rsidRPr="00AF5B14">
        <w:rPr>
          <w:rFonts w:asciiTheme="majorHAnsi" w:eastAsia="Times New Roman" w:hAnsiTheme="majorHAnsi" w:cstheme="majorHAnsi"/>
          <w:b/>
          <w:bCs/>
          <w:color w:val="1F4E79" w:themeColor="accent1" w:themeShade="80"/>
          <w:sz w:val="24"/>
          <w:szCs w:val="24"/>
          <w:lang w:val="en"/>
        </w:rPr>
        <w:t>For all students in non-B.A. degree programs:</w:t>
      </w:r>
      <w:r w:rsidRPr="00AF5B14">
        <w:rPr>
          <w:rFonts w:asciiTheme="majorHAnsi" w:eastAsia="Times New Roman" w:hAnsiTheme="majorHAnsi" w:cstheme="majorHAnsi"/>
          <w:color w:val="1F4E79" w:themeColor="accent1" w:themeShade="80"/>
          <w:sz w:val="24"/>
          <w:szCs w:val="24"/>
          <w:lang w:val="en"/>
        </w:rPr>
        <w:t xml:space="preserve">  second-semester skill level in a second language is required.  Non-B.A. degree students may fulfill this requirement with one of the following options:</w:t>
      </w:r>
    </w:p>
    <w:p w14:paraId="5BBD390C" w14:textId="77777777" w:rsidR="00AF5B14" w:rsidRPr="00AF5B14" w:rsidRDefault="00AF5B14" w:rsidP="00AF5B14">
      <w:pPr>
        <w:numPr>
          <w:ilvl w:val="0"/>
          <w:numId w:val="5"/>
        </w:numPr>
        <w:spacing w:after="0" w:line="240" w:lineRule="auto"/>
        <w:ind w:left="480"/>
        <w:rPr>
          <w:rFonts w:asciiTheme="majorHAnsi" w:eastAsia="Times New Roman" w:hAnsiTheme="majorHAnsi" w:cstheme="majorHAnsi"/>
          <w:color w:val="1F4E79" w:themeColor="accent1" w:themeShade="80"/>
          <w:sz w:val="24"/>
          <w:szCs w:val="24"/>
          <w:lang w:val="en"/>
        </w:rPr>
      </w:pPr>
      <w:r w:rsidRPr="00AF5B14">
        <w:rPr>
          <w:rFonts w:asciiTheme="majorHAnsi" w:eastAsia="Times New Roman" w:hAnsiTheme="majorHAnsi" w:cstheme="majorHAnsi"/>
          <w:color w:val="1F4E79" w:themeColor="accent1" w:themeShade="80"/>
          <w:sz w:val="24"/>
          <w:szCs w:val="24"/>
          <w:lang w:val="en"/>
        </w:rPr>
        <w:t>Scoring the equivalent of second-semester skill level on a proctored proficiency examination administered by The University of Arizona.</w:t>
      </w:r>
    </w:p>
    <w:p w14:paraId="054270DB" w14:textId="77777777" w:rsidR="00AF5B14" w:rsidRPr="00AF5B14" w:rsidRDefault="00AF5B14" w:rsidP="00AF5B14">
      <w:pPr>
        <w:numPr>
          <w:ilvl w:val="0"/>
          <w:numId w:val="5"/>
        </w:numPr>
        <w:spacing w:after="0" w:line="240" w:lineRule="auto"/>
        <w:ind w:left="480"/>
        <w:rPr>
          <w:rFonts w:asciiTheme="majorHAnsi" w:eastAsia="Times New Roman" w:hAnsiTheme="majorHAnsi" w:cstheme="majorHAnsi"/>
          <w:color w:val="1F4E79" w:themeColor="accent1" w:themeShade="80"/>
          <w:sz w:val="24"/>
          <w:szCs w:val="24"/>
          <w:lang w:val="en"/>
        </w:rPr>
      </w:pPr>
      <w:r w:rsidRPr="00AF5B14">
        <w:rPr>
          <w:rFonts w:asciiTheme="majorHAnsi" w:eastAsia="Times New Roman" w:hAnsiTheme="majorHAnsi" w:cstheme="majorHAnsi"/>
          <w:color w:val="1F4E79" w:themeColor="accent1" w:themeShade="80"/>
          <w:sz w:val="24"/>
          <w:szCs w:val="24"/>
          <w:lang w:val="en"/>
        </w:rPr>
        <w:t>Completion with a C or better of a second semester course at the post-secondary level.</w:t>
      </w:r>
    </w:p>
    <w:p w14:paraId="60F03FD3" w14:textId="77777777" w:rsidR="00AF5B14" w:rsidRPr="00AF5B14" w:rsidRDefault="00AF5B14" w:rsidP="00AF5B14">
      <w:pPr>
        <w:numPr>
          <w:ilvl w:val="0"/>
          <w:numId w:val="5"/>
        </w:numPr>
        <w:spacing w:after="0" w:line="240" w:lineRule="auto"/>
        <w:ind w:left="480"/>
        <w:rPr>
          <w:rFonts w:ascii="MiloWeb" w:eastAsia="Times New Roman" w:hAnsi="MiloWeb" w:cs="Arial"/>
          <w:color w:val="333333"/>
          <w:sz w:val="24"/>
          <w:szCs w:val="24"/>
          <w:lang w:val="en"/>
        </w:rPr>
      </w:pPr>
      <w:r w:rsidRPr="00AF5B14">
        <w:rPr>
          <w:rFonts w:asciiTheme="majorHAnsi" w:eastAsia="Times New Roman" w:hAnsiTheme="majorHAnsi" w:cstheme="majorHAnsi"/>
          <w:color w:val="1F4E79" w:themeColor="accent1" w:themeShade="80"/>
          <w:sz w:val="24"/>
          <w:szCs w:val="24"/>
          <w:lang w:val="en"/>
        </w:rPr>
        <w:t xml:space="preserve">An </w:t>
      </w:r>
      <w:hyperlink r:id="rId10" w:history="1">
        <w:r w:rsidRPr="00AF5B14">
          <w:rPr>
            <w:rFonts w:asciiTheme="majorHAnsi" w:eastAsia="Times New Roman" w:hAnsiTheme="majorHAnsi" w:cstheme="majorHAnsi"/>
            <w:b/>
            <w:bCs/>
            <w:color w:val="1F4E79" w:themeColor="accent1" w:themeShade="80"/>
            <w:sz w:val="24"/>
            <w:szCs w:val="24"/>
            <w:lang w:val="en"/>
          </w:rPr>
          <w:t>AP</w:t>
        </w:r>
      </w:hyperlink>
      <w:r w:rsidRPr="00AF5B14">
        <w:rPr>
          <w:rFonts w:asciiTheme="majorHAnsi" w:eastAsia="Times New Roman" w:hAnsiTheme="majorHAnsi" w:cstheme="majorHAnsi"/>
          <w:color w:val="1F4E79" w:themeColor="accent1" w:themeShade="80"/>
          <w:sz w:val="24"/>
          <w:szCs w:val="24"/>
          <w:lang w:val="en"/>
        </w:rPr>
        <w:t xml:space="preserve"> (Advanced Placement), </w:t>
      </w:r>
      <w:hyperlink r:id="rId11" w:history="1">
        <w:r w:rsidRPr="00AF5B14">
          <w:rPr>
            <w:rFonts w:asciiTheme="majorHAnsi" w:eastAsia="Times New Roman" w:hAnsiTheme="majorHAnsi" w:cstheme="majorHAnsi"/>
            <w:b/>
            <w:bCs/>
            <w:color w:val="1F4E79" w:themeColor="accent1" w:themeShade="80"/>
            <w:sz w:val="24"/>
            <w:szCs w:val="24"/>
            <w:lang w:val="en"/>
          </w:rPr>
          <w:t>IB</w:t>
        </w:r>
      </w:hyperlink>
      <w:r w:rsidRPr="00AF5B14">
        <w:rPr>
          <w:rFonts w:asciiTheme="majorHAnsi" w:eastAsia="Times New Roman" w:hAnsiTheme="majorHAnsi" w:cstheme="majorHAnsi"/>
          <w:color w:val="1F4E79" w:themeColor="accent1" w:themeShade="80"/>
          <w:sz w:val="24"/>
          <w:szCs w:val="24"/>
          <w:lang w:val="en"/>
        </w:rPr>
        <w:t xml:space="preserve"> (International Baccalaureate) or </w:t>
      </w:r>
      <w:hyperlink r:id="rId12" w:history="1">
        <w:r w:rsidRPr="00AF5B14">
          <w:rPr>
            <w:rFonts w:asciiTheme="majorHAnsi" w:eastAsia="Times New Roman" w:hAnsiTheme="majorHAnsi" w:cstheme="majorHAnsi"/>
            <w:b/>
            <w:bCs/>
            <w:color w:val="1F4E79" w:themeColor="accent1" w:themeShade="80"/>
            <w:sz w:val="24"/>
            <w:szCs w:val="24"/>
            <w:lang w:val="en"/>
          </w:rPr>
          <w:t>CLEP</w:t>
        </w:r>
      </w:hyperlink>
      <w:r w:rsidRPr="00AF5B14">
        <w:rPr>
          <w:rFonts w:asciiTheme="majorHAnsi" w:eastAsia="Times New Roman" w:hAnsiTheme="majorHAnsi" w:cstheme="majorHAnsi"/>
          <w:color w:val="1F4E79" w:themeColor="accent1" w:themeShade="80"/>
          <w:sz w:val="24"/>
          <w:szCs w:val="24"/>
          <w:lang w:val="en"/>
        </w:rPr>
        <w:t xml:space="preserve"> (College Level Entrance Program) language score as listed below</w:t>
      </w:r>
      <w:r w:rsidRPr="00AF5B14">
        <w:rPr>
          <w:rFonts w:ascii="MiloWeb" w:eastAsia="Times New Roman" w:hAnsi="MiloWeb" w:cs="Arial"/>
          <w:color w:val="333333"/>
          <w:sz w:val="24"/>
          <w:szCs w:val="24"/>
          <w:lang w:val="en"/>
        </w:rPr>
        <w:t xml:space="preserve">. </w:t>
      </w:r>
    </w:p>
    <w:tbl>
      <w:tblPr>
        <w:tblStyle w:val="TableGrid"/>
        <w:tblW w:w="0" w:type="auto"/>
        <w:jc w:val="center"/>
        <w:tblLook w:val="04A0" w:firstRow="1" w:lastRow="0" w:firstColumn="1" w:lastColumn="0" w:noHBand="0" w:noVBand="1"/>
      </w:tblPr>
      <w:tblGrid>
        <w:gridCol w:w="2337"/>
        <w:gridCol w:w="2337"/>
        <w:gridCol w:w="2338"/>
        <w:gridCol w:w="2338"/>
      </w:tblGrid>
      <w:tr w:rsidR="00AF5B14" w:rsidRPr="00AF5B14" w14:paraId="7F99B6C0" w14:textId="77777777" w:rsidTr="00A25B6E">
        <w:trPr>
          <w:jc w:val="center"/>
        </w:trPr>
        <w:tc>
          <w:tcPr>
            <w:tcW w:w="2337" w:type="dxa"/>
          </w:tcPr>
          <w:p w14:paraId="7BCD5951" w14:textId="77777777"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Examination</w:t>
            </w:r>
          </w:p>
        </w:tc>
        <w:tc>
          <w:tcPr>
            <w:tcW w:w="2337" w:type="dxa"/>
          </w:tcPr>
          <w:p w14:paraId="0FE86633" w14:textId="77777777"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AP Score</w:t>
            </w:r>
          </w:p>
        </w:tc>
        <w:tc>
          <w:tcPr>
            <w:tcW w:w="2338" w:type="dxa"/>
          </w:tcPr>
          <w:p w14:paraId="61A56A0C" w14:textId="77777777"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IB Score</w:t>
            </w:r>
          </w:p>
        </w:tc>
        <w:tc>
          <w:tcPr>
            <w:tcW w:w="2338" w:type="dxa"/>
          </w:tcPr>
          <w:p w14:paraId="21E23F0E" w14:textId="77777777"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CLEP Score</w:t>
            </w:r>
          </w:p>
        </w:tc>
      </w:tr>
      <w:tr w:rsidR="00AF5B14" w:rsidRPr="00AF5B14" w14:paraId="6C62F4BD" w14:textId="77777777" w:rsidTr="00A25B6E">
        <w:trPr>
          <w:jc w:val="center"/>
        </w:trPr>
        <w:tc>
          <w:tcPr>
            <w:tcW w:w="2337" w:type="dxa"/>
          </w:tcPr>
          <w:p w14:paraId="4704EC92" w14:textId="77777777"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Chinese</w:t>
            </w:r>
          </w:p>
        </w:tc>
        <w:tc>
          <w:tcPr>
            <w:tcW w:w="2337" w:type="dxa"/>
          </w:tcPr>
          <w:p w14:paraId="22F46A98" w14:textId="77777777" w:rsidR="00AF5B14" w:rsidRPr="00AF5B14" w:rsidRDefault="00AF5B14" w:rsidP="001E026E">
            <w:pPr>
              <w:rPr>
                <w:rFonts w:ascii="MiloWeb" w:hAnsi="MiloWeb" w:cs="Arial"/>
                <w:color w:val="1F4E79" w:themeColor="accent1" w:themeShade="80"/>
                <w:lang w:val="en"/>
              </w:rPr>
            </w:pPr>
            <w:r>
              <w:rPr>
                <w:rFonts w:ascii="MiloWeb" w:hAnsi="MiloWeb" w:cs="Arial"/>
                <w:color w:val="1F4E79" w:themeColor="accent1" w:themeShade="80"/>
                <w:lang w:val="en"/>
              </w:rPr>
              <w:t>3 or  higher</w:t>
            </w:r>
          </w:p>
        </w:tc>
        <w:tc>
          <w:tcPr>
            <w:tcW w:w="2338" w:type="dxa"/>
          </w:tcPr>
          <w:p w14:paraId="15A9FC9F" w14:textId="678AEF96" w:rsidR="00AF5B14" w:rsidRPr="00AF5B14" w:rsidRDefault="007F119E" w:rsidP="001E026E">
            <w:pPr>
              <w:rPr>
                <w:rFonts w:ascii="MiloWeb" w:hAnsi="MiloWeb" w:cs="Arial"/>
                <w:color w:val="1F4E79" w:themeColor="accent1" w:themeShade="80"/>
                <w:lang w:val="en"/>
              </w:rPr>
            </w:pPr>
            <w:r>
              <w:rPr>
                <w:rFonts w:ascii="MiloWeb" w:hAnsi="MiloWeb" w:cs="Arial"/>
                <w:color w:val="1F4E79" w:themeColor="accent1" w:themeShade="80"/>
                <w:lang w:val="en"/>
              </w:rPr>
              <w:t>5</w:t>
            </w:r>
          </w:p>
        </w:tc>
        <w:tc>
          <w:tcPr>
            <w:tcW w:w="2338" w:type="dxa"/>
          </w:tcPr>
          <w:p w14:paraId="354D2A77" w14:textId="57F718A9"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w:t>
            </w:r>
            <w:r w:rsidR="005415F8">
              <w:rPr>
                <w:rFonts w:ascii="MiloWeb" w:hAnsi="MiloWeb" w:cs="Arial"/>
                <w:color w:val="1F4E79" w:themeColor="accent1" w:themeShade="80"/>
                <w:lang w:val="en"/>
              </w:rPr>
              <w:t>-</w:t>
            </w:r>
          </w:p>
        </w:tc>
      </w:tr>
      <w:tr w:rsidR="00AF5B14" w:rsidRPr="00AF5B14" w14:paraId="2919795D" w14:textId="77777777" w:rsidTr="00A25B6E">
        <w:trPr>
          <w:jc w:val="center"/>
        </w:trPr>
        <w:tc>
          <w:tcPr>
            <w:tcW w:w="2337" w:type="dxa"/>
          </w:tcPr>
          <w:p w14:paraId="2B53EAE0" w14:textId="77777777"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French</w:t>
            </w:r>
          </w:p>
        </w:tc>
        <w:tc>
          <w:tcPr>
            <w:tcW w:w="2337" w:type="dxa"/>
          </w:tcPr>
          <w:p w14:paraId="4D6662B9" w14:textId="77777777"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3 or higher</w:t>
            </w:r>
          </w:p>
        </w:tc>
        <w:tc>
          <w:tcPr>
            <w:tcW w:w="2338" w:type="dxa"/>
          </w:tcPr>
          <w:p w14:paraId="6BE63AC1" w14:textId="0A0C437A"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 xml:space="preserve">5 </w:t>
            </w:r>
          </w:p>
        </w:tc>
        <w:tc>
          <w:tcPr>
            <w:tcW w:w="2338" w:type="dxa"/>
          </w:tcPr>
          <w:p w14:paraId="7A68FF5D" w14:textId="10423BA6" w:rsidR="00AF5B14" w:rsidRPr="00AF5B14" w:rsidRDefault="005415F8" w:rsidP="001E026E">
            <w:pPr>
              <w:rPr>
                <w:rFonts w:ascii="MiloWeb" w:hAnsi="MiloWeb" w:cs="Arial"/>
                <w:color w:val="1F4E79" w:themeColor="accent1" w:themeShade="80"/>
                <w:lang w:val="en"/>
              </w:rPr>
            </w:pPr>
            <w:r>
              <w:rPr>
                <w:rFonts w:ascii="MiloWeb" w:hAnsi="MiloWeb" w:cs="Arial"/>
                <w:color w:val="1F4E79" w:themeColor="accent1" w:themeShade="80"/>
                <w:lang w:val="en"/>
              </w:rPr>
              <w:t>55</w:t>
            </w:r>
            <w:r w:rsidR="00AF5B14" w:rsidRPr="00AF5B14">
              <w:rPr>
                <w:rFonts w:ascii="MiloWeb" w:hAnsi="MiloWeb" w:cs="Arial"/>
                <w:color w:val="1F4E79" w:themeColor="accent1" w:themeShade="80"/>
                <w:lang w:val="en"/>
              </w:rPr>
              <w:t xml:space="preserve"> or higher</w:t>
            </w:r>
          </w:p>
        </w:tc>
      </w:tr>
      <w:tr w:rsidR="00AF5B14" w:rsidRPr="00AF5B14" w14:paraId="24F44A98" w14:textId="77777777" w:rsidTr="00A25B6E">
        <w:trPr>
          <w:jc w:val="center"/>
        </w:trPr>
        <w:tc>
          <w:tcPr>
            <w:tcW w:w="2337" w:type="dxa"/>
          </w:tcPr>
          <w:p w14:paraId="5151B1E3" w14:textId="77777777"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German</w:t>
            </w:r>
          </w:p>
        </w:tc>
        <w:tc>
          <w:tcPr>
            <w:tcW w:w="2337" w:type="dxa"/>
          </w:tcPr>
          <w:p w14:paraId="462227C8" w14:textId="77777777"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3 or higher</w:t>
            </w:r>
          </w:p>
        </w:tc>
        <w:tc>
          <w:tcPr>
            <w:tcW w:w="2338" w:type="dxa"/>
          </w:tcPr>
          <w:p w14:paraId="275D0717" w14:textId="7E38FD18" w:rsidR="00AF5B14" w:rsidRPr="00AF5B14" w:rsidRDefault="007F119E" w:rsidP="001E026E">
            <w:pPr>
              <w:rPr>
                <w:rFonts w:ascii="MiloWeb" w:hAnsi="MiloWeb" w:cs="Arial"/>
                <w:color w:val="1F4E79" w:themeColor="accent1" w:themeShade="80"/>
                <w:lang w:val="en"/>
              </w:rPr>
            </w:pPr>
            <w:r>
              <w:rPr>
                <w:rFonts w:ascii="MiloWeb" w:hAnsi="MiloWeb" w:cs="Arial"/>
                <w:color w:val="1F4E79" w:themeColor="accent1" w:themeShade="80"/>
                <w:lang w:val="en"/>
              </w:rPr>
              <w:t>5</w:t>
            </w:r>
          </w:p>
        </w:tc>
        <w:tc>
          <w:tcPr>
            <w:tcW w:w="2338" w:type="dxa"/>
          </w:tcPr>
          <w:p w14:paraId="36E5B241" w14:textId="77777777" w:rsidR="00AF5B14" w:rsidRPr="00AF5B14" w:rsidRDefault="00AF5B14" w:rsidP="001E026E">
            <w:pPr>
              <w:rPr>
                <w:rFonts w:ascii="MiloWeb" w:hAnsi="MiloWeb" w:cs="Arial"/>
                <w:color w:val="1F4E79" w:themeColor="accent1" w:themeShade="80"/>
                <w:lang w:val="en"/>
              </w:rPr>
            </w:pPr>
            <w:r>
              <w:rPr>
                <w:rFonts w:ascii="MiloWeb" w:hAnsi="MiloWeb" w:cs="Arial"/>
                <w:color w:val="1F4E79" w:themeColor="accent1" w:themeShade="80"/>
                <w:lang w:val="en"/>
              </w:rPr>
              <w:t>46</w:t>
            </w:r>
            <w:r w:rsidRPr="00AF5B14">
              <w:rPr>
                <w:rFonts w:ascii="MiloWeb" w:hAnsi="MiloWeb" w:cs="Arial"/>
                <w:color w:val="1F4E79" w:themeColor="accent1" w:themeShade="80"/>
                <w:lang w:val="en"/>
              </w:rPr>
              <w:t xml:space="preserve"> or higher</w:t>
            </w:r>
          </w:p>
        </w:tc>
      </w:tr>
      <w:tr w:rsidR="00AF5B14" w:rsidRPr="00AF5B14" w14:paraId="65219FFB" w14:textId="77777777" w:rsidTr="00A25B6E">
        <w:trPr>
          <w:jc w:val="center"/>
        </w:trPr>
        <w:tc>
          <w:tcPr>
            <w:tcW w:w="2337" w:type="dxa"/>
          </w:tcPr>
          <w:p w14:paraId="4ADE8109" w14:textId="77777777"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Italian</w:t>
            </w:r>
          </w:p>
        </w:tc>
        <w:tc>
          <w:tcPr>
            <w:tcW w:w="2337" w:type="dxa"/>
          </w:tcPr>
          <w:p w14:paraId="55090B9D" w14:textId="77777777"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3 or higher</w:t>
            </w:r>
          </w:p>
        </w:tc>
        <w:tc>
          <w:tcPr>
            <w:tcW w:w="2338" w:type="dxa"/>
          </w:tcPr>
          <w:p w14:paraId="570F5B9A" w14:textId="580FA3E4" w:rsidR="00AF5B14" w:rsidRPr="00AF5B14" w:rsidRDefault="007F119E" w:rsidP="001E026E">
            <w:pPr>
              <w:rPr>
                <w:rFonts w:ascii="MiloWeb" w:hAnsi="MiloWeb" w:cs="Arial"/>
                <w:color w:val="1F4E79" w:themeColor="accent1" w:themeShade="80"/>
                <w:lang w:val="en"/>
              </w:rPr>
            </w:pPr>
            <w:r>
              <w:rPr>
                <w:rFonts w:ascii="MiloWeb" w:hAnsi="MiloWeb" w:cs="Arial"/>
                <w:color w:val="1F4E79" w:themeColor="accent1" w:themeShade="80"/>
                <w:lang w:val="en"/>
              </w:rPr>
              <w:t>--</w:t>
            </w:r>
          </w:p>
        </w:tc>
        <w:tc>
          <w:tcPr>
            <w:tcW w:w="2338" w:type="dxa"/>
          </w:tcPr>
          <w:p w14:paraId="033A0D6C" w14:textId="075C2BFC" w:rsidR="00AF5B14" w:rsidRPr="00AF5B14" w:rsidRDefault="005415F8" w:rsidP="001E026E">
            <w:pPr>
              <w:rPr>
                <w:rFonts w:ascii="MiloWeb" w:hAnsi="MiloWeb" w:cs="Arial"/>
                <w:color w:val="1F4E79" w:themeColor="accent1" w:themeShade="80"/>
                <w:lang w:val="en"/>
              </w:rPr>
            </w:pPr>
            <w:r>
              <w:rPr>
                <w:rFonts w:ascii="MiloWeb" w:hAnsi="MiloWeb" w:cs="Arial"/>
                <w:color w:val="1F4E79" w:themeColor="accent1" w:themeShade="80"/>
                <w:lang w:val="en"/>
              </w:rPr>
              <w:t>--</w:t>
            </w:r>
          </w:p>
        </w:tc>
      </w:tr>
      <w:tr w:rsidR="00AF5B14" w:rsidRPr="00AF5B14" w14:paraId="4ACFD86A" w14:textId="77777777" w:rsidTr="00A25B6E">
        <w:trPr>
          <w:jc w:val="center"/>
        </w:trPr>
        <w:tc>
          <w:tcPr>
            <w:tcW w:w="2337" w:type="dxa"/>
          </w:tcPr>
          <w:p w14:paraId="56033F6B" w14:textId="77777777"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Japanese</w:t>
            </w:r>
          </w:p>
        </w:tc>
        <w:tc>
          <w:tcPr>
            <w:tcW w:w="2337" w:type="dxa"/>
          </w:tcPr>
          <w:p w14:paraId="55A4D78B" w14:textId="77777777" w:rsidR="00AF5B14" w:rsidRPr="00AF5B14" w:rsidRDefault="00AF5B14" w:rsidP="001E026E">
            <w:pPr>
              <w:rPr>
                <w:rFonts w:ascii="MiloWeb" w:hAnsi="MiloWeb" w:cs="Arial"/>
                <w:color w:val="1F4E79" w:themeColor="accent1" w:themeShade="80"/>
                <w:lang w:val="en"/>
              </w:rPr>
            </w:pPr>
            <w:r>
              <w:rPr>
                <w:rFonts w:ascii="MiloWeb" w:hAnsi="MiloWeb" w:cs="Arial"/>
                <w:color w:val="1F4E79" w:themeColor="accent1" w:themeShade="80"/>
                <w:lang w:val="en"/>
              </w:rPr>
              <w:t>3 or higher</w:t>
            </w:r>
          </w:p>
        </w:tc>
        <w:tc>
          <w:tcPr>
            <w:tcW w:w="2338" w:type="dxa"/>
          </w:tcPr>
          <w:p w14:paraId="2FEDCA03" w14:textId="6B0F41A9" w:rsidR="00AF5B14" w:rsidRPr="00AF5B14" w:rsidRDefault="007F119E" w:rsidP="001E026E">
            <w:pPr>
              <w:rPr>
                <w:rFonts w:ascii="MiloWeb" w:hAnsi="MiloWeb" w:cs="Arial"/>
                <w:color w:val="1F4E79" w:themeColor="accent1" w:themeShade="80"/>
                <w:lang w:val="en"/>
              </w:rPr>
            </w:pPr>
            <w:r>
              <w:rPr>
                <w:rFonts w:ascii="MiloWeb" w:hAnsi="MiloWeb" w:cs="Arial"/>
                <w:color w:val="1F4E79" w:themeColor="accent1" w:themeShade="80"/>
                <w:lang w:val="en"/>
              </w:rPr>
              <w:t>5</w:t>
            </w:r>
          </w:p>
        </w:tc>
        <w:tc>
          <w:tcPr>
            <w:tcW w:w="2338" w:type="dxa"/>
          </w:tcPr>
          <w:p w14:paraId="506B98C0" w14:textId="5F91B3B9" w:rsidR="00AF5B14" w:rsidRPr="00AF5B14" w:rsidRDefault="005415F8" w:rsidP="001E026E">
            <w:pPr>
              <w:rPr>
                <w:rFonts w:ascii="MiloWeb" w:hAnsi="MiloWeb" w:cs="Arial"/>
                <w:color w:val="1F4E79" w:themeColor="accent1" w:themeShade="80"/>
                <w:lang w:val="en"/>
              </w:rPr>
            </w:pPr>
            <w:r>
              <w:rPr>
                <w:rFonts w:ascii="MiloWeb" w:hAnsi="MiloWeb" w:cs="Arial"/>
                <w:color w:val="1F4E79" w:themeColor="accent1" w:themeShade="80"/>
                <w:lang w:val="en"/>
              </w:rPr>
              <w:t>--</w:t>
            </w:r>
          </w:p>
        </w:tc>
      </w:tr>
      <w:tr w:rsidR="00AF5B14" w:rsidRPr="00AF5B14" w14:paraId="3E204FC5" w14:textId="77777777" w:rsidTr="00A25B6E">
        <w:trPr>
          <w:jc w:val="center"/>
        </w:trPr>
        <w:tc>
          <w:tcPr>
            <w:tcW w:w="2337" w:type="dxa"/>
          </w:tcPr>
          <w:p w14:paraId="22AE2C1B" w14:textId="77777777"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Latin (Classical Lang)</w:t>
            </w:r>
          </w:p>
        </w:tc>
        <w:tc>
          <w:tcPr>
            <w:tcW w:w="2337" w:type="dxa"/>
          </w:tcPr>
          <w:p w14:paraId="0EDEDA3C" w14:textId="77777777" w:rsidR="00AF5B14" w:rsidRPr="00AF5B14" w:rsidRDefault="00AF5B14" w:rsidP="001E026E">
            <w:pPr>
              <w:rPr>
                <w:rFonts w:ascii="MiloWeb" w:hAnsi="MiloWeb" w:cs="Arial"/>
                <w:color w:val="1F4E79" w:themeColor="accent1" w:themeShade="80"/>
                <w:lang w:val="en"/>
              </w:rPr>
            </w:pPr>
            <w:r>
              <w:rPr>
                <w:rFonts w:ascii="MiloWeb" w:hAnsi="MiloWeb" w:cs="Arial"/>
                <w:color w:val="1F4E79" w:themeColor="accent1" w:themeShade="80"/>
                <w:lang w:val="en"/>
              </w:rPr>
              <w:t>3</w:t>
            </w:r>
            <w:r w:rsidRPr="00AF5B14">
              <w:rPr>
                <w:rFonts w:ascii="MiloWeb" w:hAnsi="MiloWeb" w:cs="Arial"/>
                <w:color w:val="1F4E79" w:themeColor="accent1" w:themeShade="80"/>
                <w:lang w:val="en"/>
              </w:rPr>
              <w:t xml:space="preserve"> or higher</w:t>
            </w:r>
          </w:p>
        </w:tc>
        <w:tc>
          <w:tcPr>
            <w:tcW w:w="2338" w:type="dxa"/>
          </w:tcPr>
          <w:p w14:paraId="1666DBC8" w14:textId="756DBC89" w:rsidR="00AF5B14" w:rsidRPr="00AF5B14" w:rsidRDefault="007F119E" w:rsidP="001E026E">
            <w:pPr>
              <w:rPr>
                <w:rFonts w:ascii="MiloWeb" w:hAnsi="MiloWeb" w:cs="Arial"/>
                <w:color w:val="1F4E79" w:themeColor="accent1" w:themeShade="80"/>
                <w:lang w:val="en"/>
              </w:rPr>
            </w:pPr>
            <w:r>
              <w:rPr>
                <w:rFonts w:ascii="MiloWeb" w:hAnsi="MiloWeb" w:cs="Arial"/>
                <w:color w:val="1F4E79" w:themeColor="accent1" w:themeShade="80"/>
                <w:lang w:val="en"/>
              </w:rPr>
              <w:t>5</w:t>
            </w:r>
          </w:p>
        </w:tc>
        <w:tc>
          <w:tcPr>
            <w:tcW w:w="2338" w:type="dxa"/>
          </w:tcPr>
          <w:p w14:paraId="030A530A" w14:textId="73A8B8EA"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w:t>
            </w:r>
            <w:r w:rsidR="005415F8">
              <w:rPr>
                <w:rFonts w:ascii="MiloWeb" w:hAnsi="MiloWeb" w:cs="Arial"/>
                <w:color w:val="1F4E79" w:themeColor="accent1" w:themeShade="80"/>
                <w:lang w:val="en"/>
              </w:rPr>
              <w:t>-</w:t>
            </w:r>
          </w:p>
        </w:tc>
      </w:tr>
      <w:tr w:rsidR="00AF5B14" w:rsidRPr="00AF5B14" w14:paraId="4874E1DE" w14:textId="77777777" w:rsidTr="00A25B6E">
        <w:trPr>
          <w:jc w:val="center"/>
        </w:trPr>
        <w:tc>
          <w:tcPr>
            <w:tcW w:w="2337" w:type="dxa"/>
          </w:tcPr>
          <w:p w14:paraId="78A107B1" w14:textId="77777777"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Spanish</w:t>
            </w:r>
          </w:p>
        </w:tc>
        <w:tc>
          <w:tcPr>
            <w:tcW w:w="2337" w:type="dxa"/>
          </w:tcPr>
          <w:p w14:paraId="54B0FAF3" w14:textId="77777777" w:rsidR="00AF5B14" w:rsidRPr="00AF5B14" w:rsidRDefault="00AF5B14" w:rsidP="001E026E">
            <w:pPr>
              <w:rPr>
                <w:rFonts w:ascii="MiloWeb" w:hAnsi="MiloWeb" w:cs="Arial"/>
                <w:color w:val="1F4E79" w:themeColor="accent1" w:themeShade="80"/>
                <w:lang w:val="en"/>
              </w:rPr>
            </w:pPr>
            <w:r w:rsidRPr="00AF5B14">
              <w:rPr>
                <w:rFonts w:ascii="MiloWeb" w:hAnsi="MiloWeb" w:cs="Arial"/>
                <w:color w:val="1F4E79" w:themeColor="accent1" w:themeShade="80"/>
                <w:lang w:val="en"/>
              </w:rPr>
              <w:t>3 or higher</w:t>
            </w:r>
          </w:p>
        </w:tc>
        <w:tc>
          <w:tcPr>
            <w:tcW w:w="2338" w:type="dxa"/>
          </w:tcPr>
          <w:p w14:paraId="24981A9D" w14:textId="6A75F3C0" w:rsidR="00AF5B14" w:rsidRPr="00AF5B14" w:rsidRDefault="007F119E" w:rsidP="001E026E">
            <w:pPr>
              <w:rPr>
                <w:rFonts w:ascii="MiloWeb" w:hAnsi="MiloWeb" w:cs="Arial"/>
                <w:color w:val="1F4E79" w:themeColor="accent1" w:themeShade="80"/>
                <w:lang w:val="en"/>
              </w:rPr>
            </w:pPr>
            <w:r>
              <w:rPr>
                <w:rFonts w:ascii="MiloWeb" w:hAnsi="MiloWeb" w:cs="Arial"/>
                <w:color w:val="1F4E79" w:themeColor="accent1" w:themeShade="80"/>
                <w:lang w:val="en"/>
              </w:rPr>
              <w:t>5</w:t>
            </w:r>
          </w:p>
        </w:tc>
        <w:tc>
          <w:tcPr>
            <w:tcW w:w="2338" w:type="dxa"/>
          </w:tcPr>
          <w:p w14:paraId="7A41C6CF" w14:textId="77777777" w:rsidR="00AF5B14" w:rsidRPr="00AF5B14" w:rsidRDefault="00AF5B14" w:rsidP="001E026E">
            <w:pPr>
              <w:rPr>
                <w:rFonts w:ascii="MiloWeb" w:hAnsi="MiloWeb" w:cs="Arial"/>
                <w:color w:val="1F4E79" w:themeColor="accent1" w:themeShade="80"/>
                <w:lang w:val="en"/>
              </w:rPr>
            </w:pPr>
            <w:r>
              <w:rPr>
                <w:rFonts w:ascii="MiloWeb" w:hAnsi="MiloWeb" w:cs="Arial"/>
                <w:color w:val="1F4E79" w:themeColor="accent1" w:themeShade="80"/>
                <w:lang w:val="en"/>
              </w:rPr>
              <w:t>55</w:t>
            </w:r>
            <w:r w:rsidRPr="00AF5B14">
              <w:rPr>
                <w:rFonts w:ascii="MiloWeb" w:hAnsi="MiloWeb" w:cs="Arial"/>
                <w:color w:val="1F4E79" w:themeColor="accent1" w:themeShade="80"/>
                <w:lang w:val="en"/>
              </w:rPr>
              <w:t xml:space="preserve"> or higher</w:t>
            </w:r>
          </w:p>
        </w:tc>
      </w:tr>
      <w:tr w:rsidR="00AF5B14" w:rsidRPr="00AF5B14" w14:paraId="448A9EC6" w14:textId="77777777" w:rsidTr="00A25B6E">
        <w:trPr>
          <w:jc w:val="center"/>
        </w:trPr>
        <w:tc>
          <w:tcPr>
            <w:tcW w:w="2337" w:type="dxa"/>
          </w:tcPr>
          <w:p w14:paraId="4709E66D" w14:textId="77777777" w:rsidR="00AF5B14" w:rsidRPr="00AF5B14" w:rsidRDefault="00AF5B14" w:rsidP="001E026E">
            <w:pPr>
              <w:rPr>
                <w:rFonts w:ascii="MiloWeb" w:hAnsi="MiloWeb" w:cs="Arial"/>
                <w:color w:val="1F4E79" w:themeColor="accent1" w:themeShade="80"/>
                <w:lang w:val="en"/>
              </w:rPr>
            </w:pPr>
          </w:p>
        </w:tc>
        <w:tc>
          <w:tcPr>
            <w:tcW w:w="2337" w:type="dxa"/>
          </w:tcPr>
          <w:p w14:paraId="61D9C933" w14:textId="77777777" w:rsidR="00AF5B14" w:rsidRPr="00AF5B14" w:rsidRDefault="00AF5B14" w:rsidP="001E026E">
            <w:pPr>
              <w:rPr>
                <w:rFonts w:ascii="MiloWeb" w:hAnsi="MiloWeb" w:cs="Arial"/>
                <w:color w:val="1F4E79" w:themeColor="accent1" w:themeShade="80"/>
                <w:lang w:val="en"/>
              </w:rPr>
            </w:pPr>
          </w:p>
        </w:tc>
        <w:tc>
          <w:tcPr>
            <w:tcW w:w="2338" w:type="dxa"/>
          </w:tcPr>
          <w:p w14:paraId="7B088F0D" w14:textId="77777777" w:rsidR="00AF5B14" w:rsidRDefault="00AF5B14" w:rsidP="001E026E">
            <w:pPr>
              <w:rPr>
                <w:rFonts w:ascii="MiloWeb" w:hAnsi="MiloWeb" w:cs="Arial"/>
                <w:color w:val="1F4E79" w:themeColor="accent1" w:themeShade="80"/>
                <w:lang w:val="en"/>
              </w:rPr>
            </w:pPr>
          </w:p>
        </w:tc>
        <w:tc>
          <w:tcPr>
            <w:tcW w:w="2338" w:type="dxa"/>
          </w:tcPr>
          <w:p w14:paraId="1264EAA6" w14:textId="77777777" w:rsidR="00AF5B14" w:rsidRDefault="00AF5B14" w:rsidP="001E026E">
            <w:pPr>
              <w:rPr>
                <w:rFonts w:ascii="MiloWeb" w:hAnsi="MiloWeb" w:cs="Arial"/>
                <w:color w:val="1F4E79" w:themeColor="accent1" w:themeShade="80"/>
                <w:lang w:val="en"/>
              </w:rPr>
            </w:pPr>
          </w:p>
        </w:tc>
      </w:tr>
    </w:tbl>
    <w:p w14:paraId="14F9DBD0" w14:textId="77777777" w:rsidR="00AF5B14" w:rsidRPr="003C157D" w:rsidRDefault="00AF5B14" w:rsidP="00AF5B14">
      <w:pPr>
        <w:pStyle w:val="ListParagraph"/>
        <w:numPr>
          <w:ilvl w:val="0"/>
          <w:numId w:val="5"/>
        </w:numPr>
        <w:rPr>
          <w:rFonts w:asciiTheme="majorHAnsi" w:hAnsiTheme="majorHAnsi" w:cstheme="majorHAnsi"/>
          <w:color w:val="1F4E79" w:themeColor="accent1" w:themeShade="80"/>
        </w:rPr>
      </w:pPr>
      <w:r w:rsidRPr="003C157D">
        <w:rPr>
          <w:rFonts w:asciiTheme="majorHAnsi" w:hAnsiTheme="majorHAnsi" w:cstheme="majorHAnsi"/>
          <w:color w:val="1F4E79" w:themeColor="accent1" w:themeShade="80"/>
        </w:rPr>
        <w:t>In the College of Engineering by a method determined within the College; however, all students in the college must also take a language placement examination on entrance to the University.</w:t>
      </w:r>
    </w:p>
    <w:p w14:paraId="507271C9" w14:textId="77777777" w:rsidR="003C157D" w:rsidRDefault="00AF5B14" w:rsidP="00AF5B14">
      <w:pPr>
        <w:spacing w:after="180" w:line="240" w:lineRule="auto"/>
        <w:rPr>
          <w:rFonts w:asciiTheme="majorHAnsi" w:eastAsia="Times New Roman" w:hAnsiTheme="majorHAnsi" w:cstheme="majorHAnsi"/>
          <w:b/>
          <w:bCs/>
          <w:color w:val="1F4E79" w:themeColor="accent1" w:themeShade="80"/>
          <w:sz w:val="24"/>
          <w:szCs w:val="24"/>
          <w:lang w:val="en"/>
        </w:rPr>
      </w:pPr>
      <w:r w:rsidRPr="00AF5B14">
        <w:rPr>
          <w:rFonts w:asciiTheme="majorHAnsi" w:eastAsia="Times New Roman" w:hAnsiTheme="majorHAnsi" w:cstheme="majorHAnsi"/>
          <w:b/>
          <w:bCs/>
          <w:color w:val="1F4E79" w:themeColor="accent1" w:themeShade="80"/>
          <w:sz w:val="24"/>
          <w:szCs w:val="24"/>
          <w:lang w:val="en"/>
        </w:rPr>
        <w:lastRenderedPageBreak/>
        <w:t xml:space="preserve">Note: </w:t>
      </w:r>
    </w:p>
    <w:p w14:paraId="518400D6" w14:textId="77777777" w:rsidR="00AF5B14" w:rsidRPr="00AF5B14" w:rsidRDefault="00AF5B14" w:rsidP="00AF5B14">
      <w:pPr>
        <w:spacing w:after="180" w:line="240" w:lineRule="auto"/>
        <w:rPr>
          <w:rFonts w:asciiTheme="majorHAnsi" w:eastAsia="Times New Roman" w:hAnsiTheme="majorHAnsi" w:cstheme="majorHAnsi"/>
          <w:color w:val="1F4E79" w:themeColor="accent1" w:themeShade="80"/>
          <w:sz w:val="24"/>
          <w:szCs w:val="24"/>
          <w:lang w:val="en"/>
        </w:rPr>
      </w:pPr>
      <w:r w:rsidRPr="00AF5B14">
        <w:rPr>
          <w:rFonts w:asciiTheme="majorHAnsi" w:eastAsia="Times New Roman" w:hAnsiTheme="majorHAnsi" w:cstheme="majorHAnsi"/>
          <w:color w:val="1F4E79" w:themeColor="accent1" w:themeShade="80"/>
          <w:sz w:val="24"/>
          <w:szCs w:val="24"/>
          <w:lang w:val="en"/>
        </w:rPr>
        <w:t xml:space="preserve">Credit will not be awarded for language courses equivalent to, or at a lower level than, elementary or intermediate language courses for which the student has already earned credit (i.e., University Credit, transfer credit, or credit by exam). This policy applies to languages offered by the College of Education (i.e., American Sign Language), College of Humanities (i.e., Chinese, Critical Languages, French, German, Greek, Italian, Japanese, Korean, Latin, Portuguese, Russian, Spanish), and College of Social and Behavioral Sciences (i.e., Arabic, Hebrew, Navajo, </w:t>
      </w:r>
      <w:proofErr w:type="spellStart"/>
      <w:r w:rsidRPr="00AF5B14">
        <w:rPr>
          <w:rFonts w:asciiTheme="majorHAnsi" w:eastAsia="Times New Roman" w:hAnsiTheme="majorHAnsi" w:cstheme="majorHAnsi"/>
          <w:color w:val="1F4E79" w:themeColor="accent1" w:themeShade="80"/>
          <w:sz w:val="24"/>
          <w:szCs w:val="24"/>
          <w:lang w:val="en"/>
        </w:rPr>
        <w:t>O'Odham</w:t>
      </w:r>
      <w:proofErr w:type="spellEnd"/>
      <w:r w:rsidRPr="00AF5B14">
        <w:rPr>
          <w:rFonts w:asciiTheme="majorHAnsi" w:eastAsia="Times New Roman" w:hAnsiTheme="majorHAnsi" w:cstheme="majorHAnsi"/>
          <w:color w:val="1F4E79" w:themeColor="accent1" w:themeShade="80"/>
          <w:sz w:val="24"/>
          <w:szCs w:val="24"/>
          <w:lang w:val="en"/>
        </w:rPr>
        <w:t>, Persian, Turkish).</w:t>
      </w:r>
    </w:p>
    <w:p w14:paraId="50210342" w14:textId="77777777" w:rsidR="00AF5B14" w:rsidRPr="00AF5B14" w:rsidRDefault="00AF5B14" w:rsidP="00AF5B14">
      <w:pPr>
        <w:spacing w:after="180" w:line="240" w:lineRule="auto"/>
        <w:rPr>
          <w:rFonts w:asciiTheme="majorHAnsi" w:eastAsia="Times New Roman" w:hAnsiTheme="majorHAnsi" w:cstheme="majorHAnsi"/>
          <w:color w:val="1F4E79" w:themeColor="accent1" w:themeShade="80"/>
          <w:sz w:val="24"/>
          <w:szCs w:val="24"/>
          <w:lang w:val="en"/>
        </w:rPr>
      </w:pPr>
      <w:r w:rsidRPr="00AF5B14">
        <w:rPr>
          <w:rFonts w:asciiTheme="majorHAnsi" w:eastAsia="Times New Roman" w:hAnsiTheme="majorHAnsi" w:cstheme="majorHAnsi"/>
          <w:color w:val="1F4E79" w:themeColor="accent1" w:themeShade="80"/>
          <w:sz w:val="24"/>
          <w:szCs w:val="24"/>
          <w:lang w:val="en"/>
        </w:rPr>
        <w:t>U.S. students who are native speakers of a language other than English (e.g. Spanish, American Sign Language, and Navajo) may satisfy the requirement through a proficiency exam administered by the appropriate department.</w:t>
      </w:r>
    </w:p>
    <w:p w14:paraId="29937880" w14:textId="11164650" w:rsidR="00B34493" w:rsidRDefault="00FE35E6" w:rsidP="00AF5B14">
      <w:pPr>
        <w:spacing w:after="180" w:line="240" w:lineRule="auto"/>
        <w:rPr>
          <w:rFonts w:asciiTheme="majorHAnsi" w:eastAsia="Times New Roman" w:hAnsiTheme="majorHAnsi" w:cstheme="majorHAnsi"/>
          <w:color w:val="1F4E79" w:themeColor="accent1" w:themeShade="80"/>
          <w:sz w:val="24"/>
          <w:szCs w:val="24"/>
          <w:lang w:val="en"/>
        </w:rPr>
      </w:pPr>
      <w:r w:rsidRPr="00FE35E6">
        <w:rPr>
          <w:rFonts w:asciiTheme="majorHAnsi" w:eastAsia="Times New Roman" w:hAnsiTheme="majorHAnsi" w:cstheme="majorHAnsi"/>
          <w:color w:val="1F4E79" w:themeColor="accent1" w:themeShade="80"/>
          <w:sz w:val="24"/>
          <w:szCs w:val="24"/>
          <w:lang w:val="en"/>
        </w:rPr>
        <w:t>International students whose primary language is not English and who had to prove English proficiency to be admitted to the University have thereby fulfilled the Second Language requirement.</w:t>
      </w:r>
    </w:p>
    <w:p w14:paraId="59B03B4F" w14:textId="16BB46AF" w:rsidR="00AF5B14" w:rsidRPr="00AF5B14" w:rsidRDefault="00AF5B14" w:rsidP="00AF5B14">
      <w:pPr>
        <w:spacing w:after="180" w:line="240" w:lineRule="auto"/>
        <w:rPr>
          <w:rFonts w:asciiTheme="majorHAnsi" w:eastAsia="Times New Roman" w:hAnsiTheme="majorHAnsi" w:cstheme="majorHAnsi"/>
          <w:color w:val="1F4E79" w:themeColor="accent1" w:themeShade="80"/>
          <w:sz w:val="24"/>
          <w:szCs w:val="24"/>
          <w:lang w:val="en"/>
        </w:rPr>
      </w:pPr>
      <w:r w:rsidRPr="00AF5B14">
        <w:rPr>
          <w:rFonts w:asciiTheme="majorHAnsi" w:eastAsia="Times New Roman" w:hAnsiTheme="majorHAnsi" w:cstheme="majorHAnsi"/>
          <w:color w:val="1F4E79" w:themeColor="accent1" w:themeShade="80"/>
          <w:sz w:val="24"/>
          <w:szCs w:val="24"/>
          <w:lang w:val="en"/>
        </w:rPr>
        <w:t xml:space="preserve">All questions about language proficiency exams should be directed to the department that will evaluate proficiency. If you want to be tested in a language that is </w:t>
      </w:r>
      <w:r w:rsidRPr="00AF5B14">
        <w:rPr>
          <w:rFonts w:asciiTheme="majorHAnsi" w:eastAsia="Times New Roman" w:hAnsiTheme="majorHAnsi" w:cstheme="majorHAnsi"/>
          <w:color w:val="1F4E79" w:themeColor="accent1" w:themeShade="80"/>
          <w:sz w:val="24"/>
          <w:szCs w:val="24"/>
          <w:u w:val="single"/>
          <w:lang w:val="en"/>
        </w:rPr>
        <w:t>not</w:t>
      </w:r>
      <w:r w:rsidRPr="00AF5B14">
        <w:rPr>
          <w:rFonts w:asciiTheme="majorHAnsi" w:eastAsia="Times New Roman" w:hAnsiTheme="majorHAnsi" w:cstheme="majorHAnsi"/>
          <w:color w:val="1F4E79" w:themeColor="accent1" w:themeShade="80"/>
          <w:sz w:val="24"/>
          <w:szCs w:val="24"/>
          <w:lang w:val="en"/>
        </w:rPr>
        <w:t xml:space="preserve"> taught by a UA department, contact:</w:t>
      </w:r>
    </w:p>
    <w:p w14:paraId="6BB457C3" w14:textId="06172C80" w:rsidR="00FE35E6" w:rsidRPr="00FE35E6" w:rsidRDefault="00AF5B14" w:rsidP="00FE35E6">
      <w:pPr>
        <w:spacing w:after="180" w:line="240" w:lineRule="auto"/>
        <w:rPr>
          <w:rFonts w:asciiTheme="majorHAnsi" w:eastAsia="Times New Roman" w:hAnsiTheme="majorHAnsi" w:cstheme="majorHAnsi"/>
          <w:color w:val="1F4E79" w:themeColor="accent1" w:themeShade="80"/>
          <w:sz w:val="24"/>
          <w:szCs w:val="24"/>
          <w:lang w:val="en"/>
        </w:rPr>
      </w:pPr>
      <w:r w:rsidRPr="00AF5B14">
        <w:rPr>
          <w:rFonts w:asciiTheme="majorHAnsi" w:eastAsia="Times New Roman" w:hAnsiTheme="majorHAnsi" w:cstheme="majorHAnsi"/>
          <w:color w:val="1F4E79" w:themeColor="accent1" w:themeShade="80"/>
          <w:sz w:val="24"/>
          <w:szCs w:val="24"/>
          <w:lang w:val="en"/>
        </w:rPr>
        <w:br/>
      </w:r>
      <w:r w:rsidR="00FE35E6" w:rsidRPr="00FE35E6">
        <w:rPr>
          <w:rFonts w:asciiTheme="majorHAnsi" w:eastAsia="Times New Roman" w:hAnsiTheme="majorHAnsi" w:cstheme="majorHAnsi"/>
          <w:color w:val="1F4E79" w:themeColor="accent1" w:themeShade="80"/>
          <w:sz w:val="24"/>
          <w:szCs w:val="24"/>
          <w:lang w:val="en"/>
        </w:rPr>
        <w:t xml:space="preserve">Department of Linguistics </w:t>
      </w:r>
    </w:p>
    <w:p w14:paraId="0097D731" w14:textId="77777777" w:rsidR="00FE35E6" w:rsidRPr="00FE35E6" w:rsidRDefault="00FE35E6" w:rsidP="00FE35E6">
      <w:pPr>
        <w:spacing w:after="180" w:line="240" w:lineRule="auto"/>
        <w:rPr>
          <w:rFonts w:asciiTheme="majorHAnsi" w:eastAsia="Times New Roman" w:hAnsiTheme="majorHAnsi" w:cstheme="majorHAnsi"/>
          <w:color w:val="1F4E79" w:themeColor="accent1" w:themeShade="80"/>
          <w:sz w:val="24"/>
          <w:szCs w:val="24"/>
          <w:lang w:val="en"/>
        </w:rPr>
      </w:pPr>
      <w:r w:rsidRPr="00FE35E6">
        <w:rPr>
          <w:rFonts w:asciiTheme="majorHAnsi" w:eastAsia="Times New Roman" w:hAnsiTheme="majorHAnsi" w:cstheme="majorHAnsi"/>
          <w:color w:val="1F4E79" w:themeColor="accent1" w:themeShade="80"/>
          <w:sz w:val="24"/>
          <w:szCs w:val="24"/>
          <w:lang w:val="en"/>
        </w:rPr>
        <w:t>Douglass Building, Room 200E</w:t>
      </w:r>
    </w:p>
    <w:p w14:paraId="5C27364F" w14:textId="77777777" w:rsidR="00FE35E6" w:rsidRPr="00FE35E6" w:rsidRDefault="00FE35E6" w:rsidP="00FE35E6">
      <w:pPr>
        <w:spacing w:after="180" w:line="240" w:lineRule="auto"/>
        <w:rPr>
          <w:rFonts w:asciiTheme="majorHAnsi" w:eastAsia="Times New Roman" w:hAnsiTheme="majorHAnsi" w:cstheme="majorHAnsi"/>
          <w:color w:val="1F4E79" w:themeColor="accent1" w:themeShade="80"/>
          <w:sz w:val="24"/>
          <w:szCs w:val="24"/>
          <w:lang w:val="en"/>
        </w:rPr>
      </w:pPr>
      <w:r w:rsidRPr="00FE35E6">
        <w:rPr>
          <w:rFonts w:asciiTheme="majorHAnsi" w:eastAsia="Times New Roman" w:hAnsiTheme="majorHAnsi" w:cstheme="majorHAnsi"/>
          <w:color w:val="1F4E79" w:themeColor="accent1" w:themeShade="80"/>
          <w:sz w:val="24"/>
          <w:szCs w:val="24"/>
          <w:lang w:val="en"/>
        </w:rPr>
        <w:t>The University of Arizona</w:t>
      </w:r>
    </w:p>
    <w:p w14:paraId="675B67CA" w14:textId="77777777" w:rsidR="00FE35E6" w:rsidRPr="00FE35E6" w:rsidRDefault="00FE35E6" w:rsidP="00FE35E6">
      <w:pPr>
        <w:spacing w:after="180" w:line="240" w:lineRule="auto"/>
        <w:rPr>
          <w:rFonts w:asciiTheme="majorHAnsi" w:eastAsia="Times New Roman" w:hAnsiTheme="majorHAnsi" w:cstheme="majorHAnsi"/>
          <w:color w:val="1F4E79" w:themeColor="accent1" w:themeShade="80"/>
          <w:sz w:val="24"/>
          <w:szCs w:val="24"/>
          <w:lang w:val="en"/>
        </w:rPr>
      </w:pPr>
      <w:r w:rsidRPr="00FE35E6">
        <w:rPr>
          <w:rFonts w:asciiTheme="majorHAnsi" w:eastAsia="Times New Roman" w:hAnsiTheme="majorHAnsi" w:cstheme="majorHAnsi"/>
          <w:color w:val="1F4E79" w:themeColor="accent1" w:themeShade="80"/>
          <w:sz w:val="24"/>
          <w:szCs w:val="24"/>
          <w:lang w:val="en"/>
        </w:rPr>
        <w:t>PO Box 210028</w:t>
      </w:r>
    </w:p>
    <w:p w14:paraId="38A995B0" w14:textId="77777777" w:rsidR="00FE35E6" w:rsidRPr="00FE35E6" w:rsidRDefault="00FE35E6" w:rsidP="00FE35E6">
      <w:pPr>
        <w:spacing w:after="180" w:line="240" w:lineRule="auto"/>
        <w:rPr>
          <w:rFonts w:asciiTheme="majorHAnsi" w:eastAsia="Times New Roman" w:hAnsiTheme="majorHAnsi" w:cstheme="majorHAnsi"/>
          <w:color w:val="1F4E79" w:themeColor="accent1" w:themeShade="80"/>
          <w:sz w:val="24"/>
          <w:szCs w:val="24"/>
          <w:lang w:val="en"/>
        </w:rPr>
      </w:pPr>
      <w:r w:rsidRPr="00FE35E6">
        <w:rPr>
          <w:rFonts w:asciiTheme="majorHAnsi" w:eastAsia="Times New Roman" w:hAnsiTheme="majorHAnsi" w:cstheme="majorHAnsi"/>
          <w:color w:val="1F4E79" w:themeColor="accent1" w:themeShade="80"/>
          <w:sz w:val="24"/>
          <w:szCs w:val="24"/>
          <w:lang w:val="en"/>
        </w:rPr>
        <w:t>Tucson, AZ 85721-0028</w:t>
      </w:r>
    </w:p>
    <w:p w14:paraId="5CE04A97" w14:textId="77777777" w:rsidR="00FE35E6" w:rsidRPr="00FE35E6" w:rsidRDefault="00FE35E6" w:rsidP="00FE35E6">
      <w:pPr>
        <w:spacing w:after="180" w:line="240" w:lineRule="auto"/>
        <w:rPr>
          <w:rFonts w:asciiTheme="majorHAnsi" w:eastAsia="Times New Roman" w:hAnsiTheme="majorHAnsi" w:cstheme="majorHAnsi"/>
          <w:color w:val="1F4E79" w:themeColor="accent1" w:themeShade="80"/>
          <w:sz w:val="24"/>
          <w:szCs w:val="24"/>
          <w:lang w:val="en"/>
        </w:rPr>
      </w:pPr>
      <w:r w:rsidRPr="00FE35E6">
        <w:rPr>
          <w:rFonts w:asciiTheme="majorHAnsi" w:eastAsia="Times New Roman" w:hAnsiTheme="majorHAnsi" w:cstheme="majorHAnsi"/>
          <w:color w:val="1F4E79" w:themeColor="accent1" w:themeShade="80"/>
          <w:sz w:val="24"/>
          <w:szCs w:val="24"/>
          <w:lang w:val="en"/>
        </w:rPr>
        <w:t>Phone: (520) 621-6897</w:t>
      </w:r>
    </w:p>
    <w:p w14:paraId="58E03D95" w14:textId="239A71E7" w:rsidR="00AF5B14" w:rsidRPr="00AF5B14" w:rsidRDefault="00FE35E6" w:rsidP="00FE35E6">
      <w:pPr>
        <w:spacing w:after="180" w:line="240" w:lineRule="auto"/>
        <w:rPr>
          <w:rFonts w:asciiTheme="majorHAnsi" w:eastAsia="Times New Roman" w:hAnsiTheme="majorHAnsi" w:cstheme="majorHAnsi"/>
          <w:color w:val="1F4E79" w:themeColor="accent1" w:themeShade="80"/>
          <w:sz w:val="24"/>
          <w:szCs w:val="24"/>
          <w:lang w:val="en"/>
        </w:rPr>
      </w:pPr>
      <w:r w:rsidRPr="00FE35E6">
        <w:rPr>
          <w:rFonts w:asciiTheme="majorHAnsi" w:eastAsia="Times New Roman" w:hAnsiTheme="majorHAnsi" w:cstheme="majorHAnsi"/>
          <w:color w:val="1F4E79" w:themeColor="accent1" w:themeShade="80"/>
          <w:sz w:val="24"/>
          <w:szCs w:val="24"/>
          <w:lang w:val="en"/>
        </w:rPr>
        <w:t>Fax: (520) 626-9014</w:t>
      </w:r>
    </w:p>
    <w:p w14:paraId="2DA76EF2" w14:textId="77777777" w:rsidR="00AF5B14" w:rsidRPr="00AF5B14" w:rsidRDefault="00AF5B14" w:rsidP="00AF5B14">
      <w:pPr>
        <w:rPr>
          <w:color w:val="1F4E79" w:themeColor="accent1" w:themeShade="80"/>
        </w:rPr>
      </w:pPr>
    </w:p>
    <w:sectPr w:rsidR="00AF5B14" w:rsidRPr="00AF5B14" w:rsidSect="00AF5B14">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A320D" w14:textId="77777777" w:rsidR="000A5D33" w:rsidRDefault="000A5D33" w:rsidP="00AF5B14">
      <w:pPr>
        <w:spacing w:after="0" w:line="240" w:lineRule="auto"/>
      </w:pPr>
      <w:r>
        <w:separator/>
      </w:r>
    </w:p>
  </w:endnote>
  <w:endnote w:type="continuationSeparator" w:id="0">
    <w:p w14:paraId="5321763A" w14:textId="77777777" w:rsidR="000A5D33" w:rsidRDefault="000A5D33" w:rsidP="00AF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loWe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8FA9" w14:textId="77777777" w:rsidR="003A3F2F" w:rsidRDefault="003A3F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A3E6" w14:textId="77777777" w:rsidR="00AF5B14" w:rsidRDefault="0069421A" w:rsidP="00A25B6E">
    <w:pPr>
      <w:pStyle w:val="Footer"/>
      <w:jc w:val="center"/>
    </w:pPr>
    <w:hyperlink r:id="rId1" w:history="1">
      <w:r w:rsidR="008A2A82" w:rsidRPr="00DE3E24">
        <w:rPr>
          <w:rStyle w:val="Hyperlink"/>
        </w:rPr>
        <w:t>https://catalog.arizona.edu/policy/second-language-requirement-undergraduate-degrees</w:t>
      </w:r>
    </w:hyperlink>
  </w:p>
  <w:p w14:paraId="5942A085" w14:textId="2C051D6C" w:rsidR="008A2A82" w:rsidRDefault="008A2A82" w:rsidP="00A25B6E">
    <w:pPr>
      <w:pStyle w:val="Footer"/>
      <w:jc w:val="right"/>
    </w:pPr>
    <w:r>
      <w:t xml:space="preserve">IVC Transfer Center </w:t>
    </w:r>
    <w:r w:rsidR="00EB7E93">
      <w:t>8/10/2022</w:t>
    </w:r>
  </w:p>
  <w:p w14:paraId="6C14F2B8" w14:textId="77777777" w:rsidR="00AF5B14" w:rsidRDefault="00AF5B1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A055" w14:textId="77777777" w:rsidR="003A3F2F" w:rsidRDefault="003A3F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6A5D2" w14:textId="77777777" w:rsidR="000A5D33" w:rsidRDefault="000A5D33" w:rsidP="00AF5B14">
      <w:pPr>
        <w:spacing w:after="0" w:line="240" w:lineRule="auto"/>
      </w:pPr>
      <w:r>
        <w:separator/>
      </w:r>
    </w:p>
  </w:footnote>
  <w:footnote w:type="continuationSeparator" w:id="0">
    <w:p w14:paraId="3651F138" w14:textId="77777777" w:rsidR="000A5D33" w:rsidRDefault="000A5D33" w:rsidP="00AF5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06A3" w14:textId="77777777" w:rsidR="003A3F2F" w:rsidRDefault="003A3F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F078" w14:textId="77777777" w:rsidR="003A3F2F" w:rsidRDefault="003A3F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C039" w14:textId="77777777" w:rsidR="003A3F2F" w:rsidRDefault="003A3F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0383"/>
    <w:multiLevelType w:val="hybridMultilevel"/>
    <w:tmpl w:val="7A0A3864"/>
    <w:lvl w:ilvl="0" w:tplc="4A5C276A">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74902"/>
    <w:multiLevelType w:val="multilevel"/>
    <w:tmpl w:val="743A5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AE56A3"/>
    <w:multiLevelType w:val="hybridMultilevel"/>
    <w:tmpl w:val="CCD81AFA"/>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5AF40E0E"/>
    <w:multiLevelType w:val="hybridMultilevel"/>
    <w:tmpl w:val="C6121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153E8"/>
    <w:multiLevelType w:val="multilevel"/>
    <w:tmpl w:val="743A5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BD"/>
    <w:rsid w:val="000A5D33"/>
    <w:rsid w:val="00113267"/>
    <w:rsid w:val="003A3F2F"/>
    <w:rsid w:val="003C157D"/>
    <w:rsid w:val="005415F8"/>
    <w:rsid w:val="00666CBD"/>
    <w:rsid w:val="0069421A"/>
    <w:rsid w:val="007357BB"/>
    <w:rsid w:val="007F119E"/>
    <w:rsid w:val="008A2A82"/>
    <w:rsid w:val="008C5E71"/>
    <w:rsid w:val="00910D93"/>
    <w:rsid w:val="00A25B6E"/>
    <w:rsid w:val="00A50037"/>
    <w:rsid w:val="00AF5B14"/>
    <w:rsid w:val="00B34493"/>
    <w:rsid w:val="00CC2E47"/>
    <w:rsid w:val="00EB7E93"/>
    <w:rsid w:val="00F55B50"/>
    <w:rsid w:val="00FE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D825"/>
  <w15:chartTrackingRefBased/>
  <w15:docId w15:val="{80C305CF-246F-4410-A33D-EF184D56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CBD"/>
    <w:pPr>
      <w:ind w:left="720"/>
      <w:contextualSpacing/>
    </w:pPr>
  </w:style>
  <w:style w:type="character" w:styleId="Hyperlink">
    <w:name w:val="Hyperlink"/>
    <w:basedOn w:val="DefaultParagraphFont"/>
    <w:uiPriority w:val="99"/>
    <w:unhideWhenUsed/>
    <w:rsid w:val="00666CBD"/>
    <w:rPr>
      <w:b/>
      <w:bCs/>
      <w:strike w:val="0"/>
      <w:dstrike w:val="0"/>
      <w:color w:val="8F1124"/>
      <w:u w:val="none"/>
      <w:effect w:val="none"/>
      <w:shd w:val="clear" w:color="auto" w:fill="auto"/>
    </w:rPr>
  </w:style>
  <w:style w:type="paragraph" w:styleId="NormalWeb">
    <w:name w:val="Normal (Web)"/>
    <w:basedOn w:val="Normal"/>
    <w:uiPriority w:val="99"/>
    <w:semiHidden/>
    <w:unhideWhenUsed/>
    <w:rsid w:val="00666CBD"/>
    <w:pPr>
      <w:spacing w:after="18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CBD"/>
    <w:rPr>
      <w:b/>
      <w:bCs/>
    </w:rPr>
  </w:style>
  <w:style w:type="table" w:styleId="TableGrid">
    <w:name w:val="Table Grid"/>
    <w:basedOn w:val="TableNormal"/>
    <w:uiPriority w:val="39"/>
    <w:rsid w:val="0066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B14"/>
  </w:style>
  <w:style w:type="paragraph" w:styleId="Footer">
    <w:name w:val="footer"/>
    <w:basedOn w:val="Normal"/>
    <w:link w:val="FooterChar"/>
    <w:uiPriority w:val="99"/>
    <w:unhideWhenUsed/>
    <w:rsid w:val="00AF5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B14"/>
  </w:style>
  <w:style w:type="paragraph" w:styleId="BalloonText">
    <w:name w:val="Balloon Text"/>
    <w:basedOn w:val="Normal"/>
    <w:link w:val="BalloonTextChar"/>
    <w:uiPriority w:val="99"/>
    <w:semiHidden/>
    <w:unhideWhenUsed/>
    <w:rsid w:val="00A25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883529">
      <w:bodyDiv w:val="1"/>
      <w:marLeft w:val="0"/>
      <w:marRight w:val="0"/>
      <w:marTop w:val="0"/>
      <w:marBottom w:val="0"/>
      <w:divBdr>
        <w:top w:val="none" w:sz="0" w:space="0" w:color="auto"/>
        <w:left w:val="none" w:sz="0" w:space="0" w:color="auto"/>
        <w:bottom w:val="none" w:sz="0" w:space="0" w:color="auto"/>
        <w:right w:val="none" w:sz="0" w:space="0" w:color="auto"/>
      </w:divBdr>
      <w:divsChild>
        <w:div w:id="499084070">
          <w:marLeft w:val="0"/>
          <w:marRight w:val="0"/>
          <w:marTop w:val="0"/>
          <w:marBottom w:val="0"/>
          <w:divBdr>
            <w:top w:val="none" w:sz="0" w:space="0" w:color="auto"/>
            <w:left w:val="none" w:sz="0" w:space="0" w:color="auto"/>
            <w:bottom w:val="none" w:sz="0" w:space="0" w:color="auto"/>
            <w:right w:val="none" w:sz="0" w:space="0" w:color="auto"/>
          </w:divBdr>
          <w:divsChild>
            <w:div w:id="533346699">
              <w:marLeft w:val="0"/>
              <w:marRight w:val="0"/>
              <w:marTop w:val="0"/>
              <w:marBottom w:val="0"/>
              <w:divBdr>
                <w:top w:val="none" w:sz="0" w:space="0" w:color="auto"/>
                <w:left w:val="none" w:sz="0" w:space="0" w:color="auto"/>
                <w:bottom w:val="none" w:sz="0" w:space="0" w:color="auto"/>
                <w:right w:val="none" w:sz="0" w:space="0" w:color="auto"/>
              </w:divBdr>
              <w:divsChild>
                <w:div w:id="1475878691">
                  <w:marLeft w:val="-240"/>
                  <w:marRight w:val="-240"/>
                  <w:marTop w:val="0"/>
                  <w:marBottom w:val="0"/>
                  <w:divBdr>
                    <w:top w:val="none" w:sz="0" w:space="0" w:color="auto"/>
                    <w:left w:val="none" w:sz="0" w:space="0" w:color="auto"/>
                    <w:bottom w:val="none" w:sz="0" w:space="0" w:color="auto"/>
                    <w:right w:val="none" w:sz="0" w:space="0" w:color="auto"/>
                  </w:divBdr>
                  <w:divsChild>
                    <w:div w:id="705562503">
                      <w:marLeft w:val="0"/>
                      <w:marRight w:val="0"/>
                      <w:marTop w:val="0"/>
                      <w:marBottom w:val="0"/>
                      <w:divBdr>
                        <w:top w:val="none" w:sz="0" w:space="0" w:color="auto"/>
                        <w:left w:val="none" w:sz="0" w:space="0" w:color="auto"/>
                        <w:bottom w:val="none" w:sz="0" w:space="0" w:color="auto"/>
                        <w:right w:val="none" w:sz="0" w:space="0" w:color="auto"/>
                      </w:divBdr>
                      <w:divsChild>
                        <w:div w:id="782960051">
                          <w:marLeft w:val="0"/>
                          <w:marRight w:val="0"/>
                          <w:marTop w:val="0"/>
                          <w:marBottom w:val="0"/>
                          <w:divBdr>
                            <w:top w:val="none" w:sz="0" w:space="0" w:color="auto"/>
                            <w:left w:val="none" w:sz="0" w:space="0" w:color="auto"/>
                            <w:bottom w:val="none" w:sz="0" w:space="0" w:color="auto"/>
                            <w:right w:val="none" w:sz="0" w:space="0" w:color="auto"/>
                          </w:divBdr>
                          <w:divsChild>
                            <w:div w:id="4893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887173">
      <w:bodyDiv w:val="1"/>
      <w:marLeft w:val="0"/>
      <w:marRight w:val="0"/>
      <w:marTop w:val="0"/>
      <w:marBottom w:val="0"/>
      <w:divBdr>
        <w:top w:val="none" w:sz="0" w:space="0" w:color="auto"/>
        <w:left w:val="none" w:sz="0" w:space="0" w:color="auto"/>
        <w:bottom w:val="none" w:sz="0" w:space="0" w:color="auto"/>
        <w:right w:val="none" w:sz="0" w:space="0" w:color="auto"/>
      </w:divBdr>
      <w:divsChild>
        <w:div w:id="469591983">
          <w:marLeft w:val="0"/>
          <w:marRight w:val="0"/>
          <w:marTop w:val="0"/>
          <w:marBottom w:val="0"/>
          <w:divBdr>
            <w:top w:val="none" w:sz="0" w:space="0" w:color="auto"/>
            <w:left w:val="none" w:sz="0" w:space="0" w:color="auto"/>
            <w:bottom w:val="none" w:sz="0" w:space="0" w:color="auto"/>
            <w:right w:val="none" w:sz="0" w:space="0" w:color="auto"/>
          </w:divBdr>
          <w:divsChild>
            <w:div w:id="1339310102">
              <w:marLeft w:val="0"/>
              <w:marRight w:val="0"/>
              <w:marTop w:val="0"/>
              <w:marBottom w:val="0"/>
              <w:divBdr>
                <w:top w:val="none" w:sz="0" w:space="0" w:color="auto"/>
                <w:left w:val="none" w:sz="0" w:space="0" w:color="auto"/>
                <w:bottom w:val="none" w:sz="0" w:space="0" w:color="auto"/>
                <w:right w:val="none" w:sz="0" w:space="0" w:color="auto"/>
              </w:divBdr>
              <w:divsChild>
                <w:div w:id="1355108216">
                  <w:marLeft w:val="-240"/>
                  <w:marRight w:val="-240"/>
                  <w:marTop w:val="0"/>
                  <w:marBottom w:val="0"/>
                  <w:divBdr>
                    <w:top w:val="none" w:sz="0" w:space="0" w:color="auto"/>
                    <w:left w:val="none" w:sz="0" w:space="0" w:color="auto"/>
                    <w:bottom w:val="none" w:sz="0" w:space="0" w:color="auto"/>
                    <w:right w:val="none" w:sz="0" w:space="0" w:color="auto"/>
                  </w:divBdr>
                  <w:divsChild>
                    <w:div w:id="952441216">
                      <w:marLeft w:val="0"/>
                      <w:marRight w:val="0"/>
                      <w:marTop w:val="0"/>
                      <w:marBottom w:val="0"/>
                      <w:divBdr>
                        <w:top w:val="none" w:sz="0" w:space="0" w:color="auto"/>
                        <w:left w:val="none" w:sz="0" w:space="0" w:color="auto"/>
                        <w:bottom w:val="none" w:sz="0" w:space="0" w:color="auto"/>
                        <w:right w:val="none" w:sz="0" w:space="0" w:color="auto"/>
                      </w:divBdr>
                      <w:divsChild>
                        <w:div w:id="154029683">
                          <w:marLeft w:val="0"/>
                          <w:marRight w:val="0"/>
                          <w:marTop w:val="0"/>
                          <w:marBottom w:val="0"/>
                          <w:divBdr>
                            <w:top w:val="none" w:sz="0" w:space="0" w:color="auto"/>
                            <w:left w:val="none" w:sz="0" w:space="0" w:color="auto"/>
                            <w:bottom w:val="none" w:sz="0" w:space="0" w:color="auto"/>
                            <w:right w:val="none" w:sz="0" w:space="0" w:color="auto"/>
                          </w:divBdr>
                          <w:divsChild>
                            <w:div w:id="8657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29444">
      <w:bodyDiv w:val="1"/>
      <w:marLeft w:val="0"/>
      <w:marRight w:val="0"/>
      <w:marTop w:val="0"/>
      <w:marBottom w:val="0"/>
      <w:divBdr>
        <w:top w:val="none" w:sz="0" w:space="0" w:color="auto"/>
        <w:left w:val="none" w:sz="0" w:space="0" w:color="auto"/>
        <w:bottom w:val="none" w:sz="0" w:space="0" w:color="auto"/>
        <w:right w:val="none" w:sz="0" w:space="0" w:color="auto"/>
      </w:divBdr>
      <w:divsChild>
        <w:div w:id="872302326">
          <w:marLeft w:val="0"/>
          <w:marRight w:val="0"/>
          <w:marTop w:val="0"/>
          <w:marBottom w:val="0"/>
          <w:divBdr>
            <w:top w:val="none" w:sz="0" w:space="0" w:color="auto"/>
            <w:left w:val="none" w:sz="0" w:space="0" w:color="auto"/>
            <w:bottom w:val="none" w:sz="0" w:space="0" w:color="auto"/>
            <w:right w:val="none" w:sz="0" w:space="0" w:color="auto"/>
          </w:divBdr>
          <w:divsChild>
            <w:div w:id="789010546">
              <w:marLeft w:val="0"/>
              <w:marRight w:val="0"/>
              <w:marTop w:val="0"/>
              <w:marBottom w:val="0"/>
              <w:divBdr>
                <w:top w:val="none" w:sz="0" w:space="0" w:color="auto"/>
                <w:left w:val="none" w:sz="0" w:space="0" w:color="auto"/>
                <w:bottom w:val="none" w:sz="0" w:space="0" w:color="auto"/>
                <w:right w:val="none" w:sz="0" w:space="0" w:color="auto"/>
              </w:divBdr>
              <w:divsChild>
                <w:div w:id="1670208630">
                  <w:marLeft w:val="-240"/>
                  <w:marRight w:val="-240"/>
                  <w:marTop w:val="0"/>
                  <w:marBottom w:val="0"/>
                  <w:divBdr>
                    <w:top w:val="none" w:sz="0" w:space="0" w:color="auto"/>
                    <w:left w:val="none" w:sz="0" w:space="0" w:color="auto"/>
                    <w:bottom w:val="none" w:sz="0" w:space="0" w:color="auto"/>
                    <w:right w:val="none" w:sz="0" w:space="0" w:color="auto"/>
                  </w:divBdr>
                  <w:divsChild>
                    <w:div w:id="760295430">
                      <w:marLeft w:val="0"/>
                      <w:marRight w:val="0"/>
                      <w:marTop w:val="0"/>
                      <w:marBottom w:val="0"/>
                      <w:divBdr>
                        <w:top w:val="none" w:sz="0" w:space="0" w:color="auto"/>
                        <w:left w:val="none" w:sz="0" w:space="0" w:color="auto"/>
                        <w:bottom w:val="none" w:sz="0" w:space="0" w:color="auto"/>
                        <w:right w:val="none" w:sz="0" w:space="0" w:color="auto"/>
                      </w:divBdr>
                      <w:divsChild>
                        <w:div w:id="1752198947">
                          <w:marLeft w:val="0"/>
                          <w:marRight w:val="0"/>
                          <w:marTop w:val="0"/>
                          <w:marBottom w:val="0"/>
                          <w:divBdr>
                            <w:top w:val="none" w:sz="0" w:space="0" w:color="auto"/>
                            <w:left w:val="none" w:sz="0" w:space="0" w:color="auto"/>
                            <w:bottom w:val="none" w:sz="0" w:space="0" w:color="auto"/>
                            <w:right w:val="none" w:sz="0" w:space="0" w:color="auto"/>
                          </w:divBdr>
                          <w:divsChild>
                            <w:div w:id="16964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izona.edu/policy/international-baccalaureate-ib-progra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talog.arizona.edu/policy/advanced-placement-ap-program" TargetMode="External"/><Relationship Id="rId12" Type="http://schemas.openxmlformats.org/officeDocument/2006/relationships/hyperlink" Target="https://catalog.arizona.edu/policy/college-level-examination-program-cle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arizona.edu/policy/international-baccalaureate-ib-progr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atalog.arizona.edu/policy/advanced-placement-ap-progr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arizona.edu/policy/college-level-examination-program-cle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catalog.arizona.edu/policy/second-language-requirement-undergraduate-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Imperial Valley College</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Gomez</dc:creator>
  <cp:keywords/>
  <dc:description/>
  <cp:lastModifiedBy>Edgar Espinoza</cp:lastModifiedBy>
  <cp:revision>2</cp:revision>
  <cp:lastPrinted>2019-07-09T18:02:00Z</cp:lastPrinted>
  <dcterms:created xsi:type="dcterms:W3CDTF">2022-11-01T16:41:00Z</dcterms:created>
  <dcterms:modified xsi:type="dcterms:W3CDTF">2022-11-01T16:41:00Z</dcterms:modified>
</cp:coreProperties>
</file>